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exact"/>
        <w:jc w:val="center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《国际金融》课程教学大纲</w:t>
      </w:r>
    </w:p>
    <w:tbl>
      <w:tblPr>
        <w:tblStyle w:val="9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418"/>
        <w:gridCol w:w="709"/>
        <w:gridCol w:w="567"/>
        <w:gridCol w:w="2551"/>
        <w:gridCol w:w="425"/>
        <w:gridCol w:w="284"/>
        <w:gridCol w:w="1276"/>
        <w:gridCol w:w="75"/>
        <w:gridCol w:w="438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793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：国际金融</w:t>
            </w:r>
          </w:p>
        </w:tc>
        <w:tc>
          <w:tcPr>
            <w:tcW w:w="3608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课程类别（必修/选修）：选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1"/>
                <w:szCs w:val="21"/>
                <w:lang w:eastAsia="zh-CN"/>
              </w:rPr>
              <w:t>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hint="eastAsia" w:ascii="宋体" w:hAnsi="宋体" w:eastAsiaTheme="minorEastAsia"/>
                <w:b/>
                <w:szCs w:val="21"/>
                <w:lang w:eastAsia="zh-CN"/>
              </w:rPr>
              <w:t>I</w:t>
            </w:r>
            <w:r>
              <w:rPr>
                <w:rFonts w:hint="eastAsia" w:ascii="宋体" w:hAnsi="宋体"/>
                <w:b/>
                <w:szCs w:val="21"/>
              </w:rPr>
              <w:t xml:space="preserve">nternational </w:t>
            </w:r>
            <w:r>
              <w:rPr>
                <w:rFonts w:hint="eastAsia" w:ascii="宋体" w:hAnsi="宋体" w:eastAsiaTheme="minorEastAsia"/>
                <w:b/>
                <w:szCs w:val="21"/>
                <w:lang w:eastAsia="zh-CN"/>
              </w:rPr>
              <w:t>F</w:t>
            </w:r>
            <w:r>
              <w:rPr>
                <w:rFonts w:hint="eastAsia" w:ascii="宋体" w:hAnsi="宋体"/>
                <w:b/>
                <w:szCs w:val="21"/>
              </w:rPr>
              <w:t>inance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793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48/3/3</w:t>
            </w:r>
          </w:p>
        </w:tc>
        <w:tc>
          <w:tcPr>
            <w:tcW w:w="3608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先修课程： 微观经济学、宏观经济学、金融学（货币银行学）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793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授课时间：周一上午 (1-16周)</w:t>
            </w:r>
          </w:p>
        </w:tc>
        <w:tc>
          <w:tcPr>
            <w:tcW w:w="3608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6B304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 2015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1"/>
                <w:szCs w:val="21"/>
                <w:lang w:eastAsia="zh-CN"/>
              </w:rPr>
              <w:t>计算机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郭忠林/副教授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793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15820888410</w:t>
            </w:r>
          </w:p>
        </w:tc>
        <w:tc>
          <w:tcPr>
            <w:tcW w:w="3608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270398118@qq.com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利用课间及办公时间面谈或利用网络等方式答疑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eastAsia"/>
                <w:bCs/>
                <w:lang w:eastAsia="zh-CN"/>
              </w:rPr>
              <w:t>√</w:t>
            </w:r>
            <w:r>
              <w:rPr>
                <w:rFonts w:hint="eastAsia" w:eastAsiaTheme="minorEastAsia"/>
                <w:bCs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 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hAnsiTheme="minorEastAsia" w:eastAsia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《国际金融》（第五版） 陈雨露  中国人民大学出版社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widowControl w:val="0"/>
              <w:tabs>
                <w:tab w:val="left" w:pos="1440"/>
              </w:tabs>
              <w:spacing w:after="0" w:line="360" w:lineRule="exact"/>
              <w:ind w:firstLine="105" w:firstLineChars="50"/>
              <w:outlineLvl w:val="0"/>
              <w:rPr>
                <w:rFonts w:asciiTheme="minorEastAsia" w:hAnsiTheme="minorEastAsia" w:eastAsiaTheme="minorEastAsia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kern w:val="2"/>
                <w:sz w:val="21"/>
                <w:szCs w:val="21"/>
                <w:lang w:eastAsia="zh-CN"/>
              </w:rPr>
              <w:t>《国际金融新编》         姜波克    复旦大学出版社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《国际金融实务与理论》 李敏    北京大学出版社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《国际货币与金融》 [美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]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迈克尔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·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梅尔文    上海三联书店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《国际经济学》 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[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美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]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克鲁格曼、奥伯斯法尔德 中国人民大学出版社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Theme="minorEastAsia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pStyle w:val="17"/>
              <w:snapToGrid w:val="0"/>
              <w:spacing w:line="400" w:lineRule="exact"/>
              <w:ind w:left="0" w:leftChars="0" w:firstLine="316" w:firstLineChars="150"/>
              <w:rPr>
                <w:bCs w:val="0"/>
                <w:kern w:val="2"/>
                <w:szCs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课程简介：</w:t>
            </w:r>
            <w:r>
              <w:rPr>
                <w:rFonts w:hint="eastAsia"/>
                <w:bCs w:val="0"/>
                <w:kern w:val="2"/>
                <w:szCs w:val="24"/>
              </w:rPr>
              <w:t>本课程是经济与金融、国际经济与贸易、工商管理、人力资源管理、会计学等专业的学科基础必修课程。通过本课程的学习，使学生了解国际金融的基础理论和方法，包括外汇及汇率计算、外汇市场交易活动及交易产品、外汇衍生交易的特点及交易机制、离岸金融市场、国际资产组合投资、外汇风险管理、国际直接投资、国际收支。</w:t>
            </w:r>
          </w:p>
          <w:p>
            <w:pPr>
              <w:pStyle w:val="17"/>
              <w:snapToGrid w:val="0"/>
              <w:spacing w:line="400" w:lineRule="exact"/>
              <w:ind w:left="0" w:leftChars="0" w:firstLine="316" w:firstLineChars="150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8" w:type="dxa"/>
            <w:gridSpan w:val="6"/>
          </w:tcPr>
          <w:p>
            <w:pPr>
              <w:tabs>
                <w:tab w:val="left" w:pos="1440"/>
              </w:tabs>
              <w:spacing w:after="0" w:line="360" w:lineRule="exac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tabs>
                <w:tab w:val="left" w:pos="1440"/>
              </w:tabs>
              <w:spacing w:after="0" w:line="360" w:lineRule="auto"/>
              <w:ind w:firstLine="420" w:firstLineChars="200"/>
              <w:outlineLvl w:val="0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 xml:space="preserve"> 学生在掌握国际金融基本知识与理论的基础上，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能够利用所学国际金融理论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分析国际金融一般问题</w:t>
            </w:r>
          </w:p>
          <w:p>
            <w:pPr>
              <w:tabs>
                <w:tab w:val="left" w:pos="1440"/>
              </w:tabs>
              <w:spacing w:after="0" w:line="360" w:lineRule="auto"/>
              <w:ind w:firstLine="420" w:firstLineChars="200"/>
              <w:outlineLvl w:val="0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2. 在熟练掌握国际金融相关知识的基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础上，具备涉外金融业务的操作技能。</w:t>
            </w:r>
          </w:p>
          <w:p>
            <w:pPr>
              <w:tabs>
                <w:tab w:val="left" w:pos="1440"/>
              </w:tabs>
              <w:spacing w:after="0" w:line="360" w:lineRule="auto"/>
              <w:ind w:firstLine="420" w:firstLineChars="20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3. 部分优秀学生可在掌握基本理论的基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础上，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引导其进一步研究更为复杂的国际金融前沿和热点课题，为今后的深造奠定基石。</w:t>
            </w:r>
          </w:p>
          <w:p>
            <w:pPr>
              <w:tabs>
                <w:tab w:val="left" w:pos="1440"/>
              </w:tabs>
              <w:spacing w:after="0" w:line="360" w:lineRule="exact"/>
              <w:ind w:firstLine="420" w:firstLineChars="20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Theme="minorEastAsia"/>
                <w:b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Theme="minor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3" w:type="dxa"/>
            <w:gridSpan w:val="5"/>
          </w:tcPr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经济运行分析能力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21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260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78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110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127" w:type="dxa"/>
            <w:gridSpan w:val="2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导论，第一章 外汇与外汇汇率</w:t>
            </w:r>
          </w:p>
        </w:tc>
        <w:tc>
          <w:tcPr>
            <w:tcW w:w="567" w:type="dxa"/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国际金融体系的发展历史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外汇与汇率概念、计算</w:t>
            </w:r>
          </w:p>
        </w:tc>
        <w:tc>
          <w:tcPr>
            <w:tcW w:w="1789" w:type="dxa"/>
            <w:gridSpan w:val="3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27" w:type="dxa"/>
            <w:gridSpan w:val="2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第一章 外汇与外汇汇率</w:t>
            </w:r>
          </w:p>
        </w:tc>
        <w:tc>
          <w:tcPr>
            <w:tcW w:w="567" w:type="dxa"/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汇率决定与变动，汇率变化的经济影响</w:t>
            </w:r>
          </w:p>
        </w:tc>
        <w:tc>
          <w:tcPr>
            <w:tcW w:w="1789" w:type="dxa"/>
            <w:gridSpan w:val="3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27" w:type="dxa"/>
            <w:gridSpan w:val="2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第二章 外汇市场</w:t>
            </w:r>
          </w:p>
        </w:tc>
        <w:tc>
          <w:tcPr>
            <w:tcW w:w="567" w:type="dxa"/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外汇市场概述，市场环境与结构，交易活动与交易品，中国外汇市场</w:t>
            </w:r>
          </w:p>
        </w:tc>
        <w:tc>
          <w:tcPr>
            <w:tcW w:w="1789" w:type="dxa"/>
            <w:gridSpan w:val="3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27" w:type="dxa"/>
            <w:gridSpan w:val="2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第三章 外汇衍生产品市场</w:t>
            </w:r>
          </w:p>
        </w:tc>
        <w:tc>
          <w:tcPr>
            <w:tcW w:w="567" w:type="dxa"/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外汇远期、期货的交易机制</w:t>
            </w:r>
          </w:p>
        </w:tc>
        <w:tc>
          <w:tcPr>
            <w:tcW w:w="1789" w:type="dxa"/>
            <w:gridSpan w:val="3"/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第三章 外汇衍生品市场，第四章 离岸金融市场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bottom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外汇期权的交易机制与特征，外汇衍生产品市场的现状及发展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欧洲货币市场、欧洲债券市场</w:t>
            </w:r>
          </w:p>
        </w:tc>
        <w:tc>
          <w:tcPr>
            <w:tcW w:w="1789" w:type="dxa"/>
            <w:gridSpan w:val="3"/>
            <w:tcBorders>
              <w:bottom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bottom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第五章 国际资产组合投资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bottom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国际组合投资概览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金融市场一体化</w:t>
            </w:r>
          </w:p>
        </w:tc>
        <w:tc>
          <w:tcPr>
            <w:tcW w:w="1789" w:type="dxa"/>
            <w:gridSpan w:val="3"/>
            <w:tcBorders>
              <w:bottom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bottom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第五章 国际资产组合投资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国际组合投资与金融市场一体化的关系及机制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专题研究报告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课堂讲授与讨论小组讨论，个人撰写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第六章 外汇风险管理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外汇风险管理的方法、技术与机制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第七章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 xml:space="preserve">  国际直接投资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投资概述，跨国公司直接投资的经济利益，资本预算，国家风险管理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第八章 跨国公司资产负债管理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跨国公司短期资产负债管理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第八章 跨国公司资产负债管理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第九章 跨国银行业务与经营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跨国公司的资本成本与资本结构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国际税收规划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跨国银行的产生、发展，组织架构、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第九章 跨国银行业务与经营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跨国银行的业务与监管，我国跨国银行发展现状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第十章 国际收支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国际收支平衡表与外债管理，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国际储备管理和国际收支理论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第十一章 汇率制度选择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固定汇率与浮动汇率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最适货币区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美元化道路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汇率目标区方案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第十二章 国际资本流动与金融危机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中长期、短期国际资本流动与债务危机，</w:t>
            </w:r>
            <w:r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  <w:t>金融危机理论模型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，控制国际资本流动的不利影响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课堂讲授与讨论</w:t>
            </w:r>
          </w:p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当堂考核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复习和答疑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第一、二节课复习，第二节答疑</w:t>
            </w:r>
          </w:p>
        </w:tc>
        <w:tc>
          <w:tcPr>
            <w:tcW w:w="1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36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567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89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21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2976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3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vAlign w:val="center"/>
          </w:tcPr>
          <w:p>
            <w:pPr>
              <w:spacing w:after="0" w:line="360" w:lineRule="exact"/>
              <w:ind w:firstLine="105" w:firstLineChars="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2976" w:type="dxa"/>
            <w:gridSpan w:val="2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360" w:lineRule="exact"/>
              <w:ind w:firstLine="315" w:firstLineChars="1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623" w:type="dxa"/>
            <w:gridSpan w:val="3"/>
            <w:vAlign w:val="center"/>
          </w:tcPr>
          <w:p>
            <w:pPr>
              <w:spacing w:after="0" w:line="360" w:lineRule="exac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66" w:type="dxa"/>
            <w:gridSpan w:val="2"/>
            <w:vAlign w:val="center"/>
          </w:tcPr>
          <w:p>
            <w:pPr>
              <w:snapToGrid w:val="0"/>
              <w:spacing w:after="0" w:line="360" w:lineRule="exac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87" w:type="dxa"/>
            <w:gridSpan w:val="7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66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887" w:type="dxa"/>
            <w:gridSpan w:val="7"/>
            <w:vAlign w:val="center"/>
          </w:tcPr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eastAsia="zh-CN"/>
              </w:rPr>
              <w:t>按照作业答题准确率，完成率，完善程度与工整美观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66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出勤与课堂表现</w:t>
            </w:r>
          </w:p>
        </w:tc>
        <w:tc>
          <w:tcPr>
            <w:tcW w:w="5887" w:type="dxa"/>
            <w:gridSpan w:val="7"/>
            <w:vAlign w:val="center"/>
          </w:tcPr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1"/>
                <w:szCs w:val="21"/>
                <w:lang w:eastAsia="zh-CN"/>
              </w:rPr>
              <w:t>全勤且课堂表现积极满分，缺勤一次扣20分，无缺勤但表现一般者85~90分（该项满分100分）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66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期中考核</w:t>
            </w:r>
          </w:p>
        </w:tc>
        <w:tc>
          <w:tcPr>
            <w:tcW w:w="5887" w:type="dxa"/>
            <w:gridSpan w:val="7"/>
            <w:vAlign w:val="center"/>
          </w:tcPr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根据小组讨论，撰写的研究报告质量给分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66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期末考试</w:t>
            </w:r>
          </w:p>
        </w:tc>
        <w:tc>
          <w:tcPr>
            <w:tcW w:w="5887" w:type="dxa"/>
            <w:gridSpan w:val="7"/>
            <w:vAlign w:val="center"/>
          </w:tcPr>
          <w:p>
            <w:pPr>
              <w:snapToGrid w:val="0"/>
              <w:spacing w:after="0" w:line="360" w:lineRule="exact"/>
              <w:jc w:val="left"/>
              <w:rPr>
                <w:rFonts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按照卷面答题的正确率给分</w:t>
            </w:r>
          </w:p>
        </w:tc>
        <w:tc>
          <w:tcPr>
            <w:tcW w:w="1548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66" w:type="dxa"/>
            <w:gridSpan w:val="2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87" w:type="dxa"/>
            <w:gridSpan w:val="7"/>
            <w:vAlign w:val="center"/>
          </w:tcPr>
          <w:p>
            <w:pPr>
              <w:snapToGrid w:val="0"/>
              <w:spacing w:after="0" w:line="36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48" w:type="dxa"/>
            <w:gridSpan w:val="2"/>
            <w:vAlign w:val="center"/>
          </w:tcPr>
          <w:p>
            <w:pPr>
              <w:snapToGrid w:val="0"/>
              <w:spacing w:after="0" w:line="360" w:lineRule="exac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napToGrid w:val="0"/>
              <w:spacing w:after="0" w:line="360" w:lineRule="exac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大纲编写时间：2017.9.8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  <w:jc w:val="center"/>
        </w:trPr>
        <w:tc>
          <w:tcPr>
            <w:tcW w:w="9401" w:type="dxa"/>
            <w:gridSpan w:val="11"/>
          </w:tcPr>
          <w:p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360" w:lineRule="exac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360" w:lineRule="exac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360" w:lineRule="exac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360" w:lineRule="exac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after="0"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after="0"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after="0"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after="0"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52AA6"/>
    <w:rsid w:val="00061F27"/>
    <w:rsid w:val="0006698D"/>
    <w:rsid w:val="00087B74"/>
    <w:rsid w:val="000B626E"/>
    <w:rsid w:val="000C1646"/>
    <w:rsid w:val="000C2D4A"/>
    <w:rsid w:val="000C5F93"/>
    <w:rsid w:val="000E0AE8"/>
    <w:rsid w:val="00155E5A"/>
    <w:rsid w:val="00160C61"/>
    <w:rsid w:val="00171228"/>
    <w:rsid w:val="00196C55"/>
    <w:rsid w:val="001A0E41"/>
    <w:rsid w:val="001A32BB"/>
    <w:rsid w:val="001B31E9"/>
    <w:rsid w:val="001D28E8"/>
    <w:rsid w:val="001F20BC"/>
    <w:rsid w:val="002111AE"/>
    <w:rsid w:val="00227119"/>
    <w:rsid w:val="002A6741"/>
    <w:rsid w:val="002E131E"/>
    <w:rsid w:val="002E27E1"/>
    <w:rsid w:val="003044FA"/>
    <w:rsid w:val="00361DFA"/>
    <w:rsid w:val="0037561C"/>
    <w:rsid w:val="003C2B7C"/>
    <w:rsid w:val="003C66D8"/>
    <w:rsid w:val="003E66A6"/>
    <w:rsid w:val="003F16B0"/>
    <w:rsid w:val="00403E58"/>
    <w:rsid w:val="00414FC8"/>
    <w:rsid w:val="00457E42"/>
    <w:rsid w:val="0046039B"/>
    <w:rsid w:val="00471E1D"/>
    <w:rsid w:val="004B3994"/>
    <w:rsid w:val="004D29DE"/>
    <w:rsid w:val="004E0481"/>
    <w:rsid w:val="004E1768"/>
    <w:rsid w:val="004E7804"/>
    <w:rsid w:val="0051523A"/>
    <w:rsid w:val="00560A8D"/>
    <w:rsid w:val="005639AB"/>
    <w:rsid w:val="00572CB7"/>
    <w:rsid w:val="005911D3"/>
    <w:rsid w:val="00594D7C"/>
    <w:rsid w:val="005F174F"/>
    <w:rsid w:val="0063410F"/>
    <w:rsid w:val="0064351D"/>
    <w:rsid w:val="0065651C"/>
    <w:rsid w:val="006E6375"/>
    <w:rsid w:val="00704B63"/>
    <w:rsid w:val="00735FDE"/>
    <w:rsid w:val="00770F0D"/>
    <w:rsid w:val="00776AF2"/>
    <w:rsid w:val="00785779"/>
    <w:rsid w:val="007A154B"/>
    <w:rsid w:val="008147FF"/>
    <w:rsid w:val="00815F78"/>
    <w:rsid w:val="00825CC1"/>
    <w:rsid w:val="008512DF"/>
    <w:rsid w:val="00855020"/>
    <w:rsid w:val="00862C02"/>
    <w:rsid w:val="00885EED"/>
    <w:rsid w:val="00892ADC"/>
    <w:rsid w:val="00896971"/>
    <w:rsid w:val="008A247E"/>
    <w:rsid w:val="008A2FCA"/>
    <w:rsid w:val="008B2AA2"/>
    <w:rsid w:val="008F6642"/>
    <w:rsid w:val="00917C66"/>
    <w:rsid w:val="009349EE"/>
    <w:rsid w:val="00942C05"/>
    <w:rsid w:val="00975045"/>
    <w:rsid w:val="009755A3"/>
    <w:rsid w:val="009A2B5C"/>
    <w:rsid w:val="009A2CBF"/>
    <w:rsid w:val="009B2742"/>
    <w:rsid w:val="009B3EAE"/>
    <w:rsid w:val="009C3354"/>
    <w:rsid w:val="009D3079"/>
    <w:rsid w:val="009F3D37"/>
    <w:rsid w:val="00A126D6"/>
    <w:rsid w:val="00A84D68"/>
    <w:rsid w:val="00A85774"/>
    <w:rsid w:val="00AA199F"/>
    <w:rsid w:val="00AB00C2"/>
    <w:rsid w:val="00AE48DD"/>
    <w:rsid w:val="00AF752B"/>
    <w:rsid w:val="00B441A9"/>
    <w:rsid w:val="00B54B94"/>
    <w:rsid w:val="00B70321"/>
    <w:rsid w:val="00BA43E0"/>
    <w:rsid w:val="00BB35F5"/>
    <w:rsid w:val="00C41D05"/>
    <w:rsid w:val="00C516E8"/>
    <w:rsid w:val="00C705DD"/>
    <w:rsid w:val="00C76FA2"/>
    <w:rsid w:val="00CA1AB8"/>
    <w:rsid w:val="00CA6599"/>
    <w:rsid w:val="00CB61FD"/>
    <w:rsid w:val="00CC4A46"/>
    <w:rsid w:val="00CD2F8F"/>
    <w:rsid w:val="00CF39DB"/>
    <w:rsid w:val="00D01CD3"/>
    <w:rsid w:val="00D45246"/>
    <w:rsid w:val="00D62B41"/>
    <w:rsid w:val="00DB45CF"/>
    <w:rsid w:val="00DB5724"/>
    <w:rsid w:val="00DC6B15"/>
    <w:rsid w:val="00DF5C03"/>
    <w:rsid w:val="00E0505F"/>
    <w:rsid w:val="00E15ECC"/>
    <w:rsid w:val="00E3191B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8AE2E82"/>
    <w:rsid w:val="2C23799B"/>
    <w:rsid w:val="62602DFF"/>
    <w:rsid w:val="722C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9"/>
    <w:uiPriority w:val="0"/>
    <w:rPr>
      <w:b/>
      <w:bCs/>
    </w:rPr>
  </w:style>
  <w:style w:type="paragraph" w:styleId="3">
    <w:name w:val="annotation text"/>
    <w:basedOn w:val="1"/>
    <w:link w:val="18"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pPr>
      <w:spacing w:after="0"/>
    </w:pPr>
    <w:rPr>
      <w:sz w:val="18"/>
      <w:szCs w:val="18"/>
    </w:rPr>
  </w:style>
  <w:style w:type="paragraph" w:styleId="5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2">
    <w:name w:val="fontstyle01"/>
    <w:basedOn w:val="7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3">
    <w:name w:val="页眉 Char"/>
    <w:basedOn w:val="7"/>
    <w:link w:val="6"/>
    <w:uiPriority w:val="0"/>
    <w:rPr>
      <w:rFonts w:eastAsia="PMingLiU"/>
      <w:sz w:val="18"/>
      <w:szCs w:val="18"/>
      <w:lang w:eastAsia="en-US"/>
    </w:rPr>
  </w:style>
  <w:style w:type="character" w:customStyle="1" w:styleId="14">
    <w:name w:val="页脚 Char"/>
    <w:basedOn w:val="7"/>
    <w:link w:val="5"/>
    <w:uiPriority w:val="0"/>
    <w:rPr>
      <w:rFonts w:eastAsia="PMingLiU"/>
      <w:sz w:val="18"/>
      <w:szCs w:val="18"/>
      <w:lang w:eastAsia="en-US"/>
    </w:rPr>
  </w:style>
  <w:style w:type="paragraph" w:customStyle="1" w:styleId="15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6">
    <w:name w:val="批注框文本 Char"/>
    <w:basedOn w:val="7"/>
    <w:link w:val="4"/>
    <w:uiPriority w:val="0"/>
    <w:rPr>
      <w:rFonts w:eastAsia="PMingLiU"/>
      <w:sz w:val="18"/>
      <w:szCs w:val="18"/>
      <w:lang w:eastAsia="en-US"/>
    </w:rPr>
  </w:style>
  <w:style w:type="paragraph" w:customStyle="1" w:styleId="17">
    <w:name w:val="大纲的正文"/>
    <w:basedOn w:val="1"/>
    <w:uiPriority w:val="0"/>
    <w:pPr>
      <w:widowControl w:val="0"/>
      <w:adjustRightInd w:val="0"/>
      <w:spacing w:after="0" w:line="300" w:lineRule="auto"/>
      <w:ind w:left="-285" w:leftChars="-285" w:firstLine="200" w:firstLineChars="200"/>
      <w:jc w:val="left"/>
      <w:textAlignment w:val="baseline"/>
    </w:pPr>
    <w:rPr>
      <w:rFonts w:eastAsia="宋体"/>
      <w:bCs/>
      <w:sz w:val="21"/>
      <w:szCs w:val="20"/>
      <w:lang w:eastAsia="zh-CN"/>
    </w:rPr>
  </w:style>
  <w:style w:type="character" w:customStyle="1" w:styleId="18">
    <w:name w:val="批注文字 Char"/>
    <w:basedOn w:val="7"/>
    <w:link w:val="3"/>
    <w:qFormat/>
    <w:uiPriority w:val="0"/>
    <w:rPr>
      <w:rFonts w:eastAsia="PMingLiU"/>
      <w:sz w:val="24"/>
      <w:szCs w:val="22"/>
      <w:lang w:eastAsia="en-US"/>
    </w:rPr>
  </w:style>
  <w:style w:type="character" w:customStyle="1" w:styleId="19">
    <w:name w:val="批注主题 Char"/>
    <w:basedOn w:val="18"/>
    <w:link w:val="2"/>
    <w:uiPriority w:val="0"/>
    <w:rPr>
      <w:rFonts w:eastAsia="PMingLiU"/>
      <w:b/>
      <w:bCs/>
      <w:sz w:val="24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06C162-3001-4F48-9F2E-7A9F80DCD4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367</Words>
  <Characters>2097</Characters>
  <Lines>17</Lines>
  <Paragraphs>4</Paragraphs>
  <ScaleCrop>false</ScaleCrop>
  <LinksUpToDate>false</LinksUpToDate>
  <CharactersWithSpaces>2460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2017-09-06T14:50:00Z</dcterms:created>
  <dc:creator>lenovo</dc:creator>
  <cp:lastModifiedBy>刘璇</cp:lastModifiedBy>
  <cp:lastPrinted>2017-01-05T16:24:00Z</cp:lastPrinted>
  <dcterms:modified xsi:type="dcterms:W3CDTF">2017-11-06T06:49:54Z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