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国际贸易理论与实务</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992"/>
        <w:gridCol w:w="637"/>
        <w:gridCol w:w="913"/>
        <w:gridCol w:w="1667"/>
        <w:gridCol w:w="1602"/>
        <w:gridCol w:w="93"/>
        <w:gridCol w:w="72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val="0"/>
                <w:bCs/>
                <w:sz w:val="21"/>
                <w:szCs w:val="21"/>
                <w:lang w:eastAsia="zh-CN"/>
              </w:rPr>
              <w:t>《国际贸易理论与实务》</w:t>
            </w:r>
            <w:r>
              <w:rPr>
                <w:rFonts w:hint="eastAsia" w:ascii="宋体" w:hAnsi="宋体" w:eastAsia="宋体"/>
                <w:b w:val="0"/>
                <w:bCs/>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任选课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rPr>
              <w:t xml:space="preserve"> </w:t>
            </w:r>
            <w:r>
              <w:rPr>
                <w:rFonts w:hint="eastAsia" w:ascii="宋体" w:hAnsi="宋体" w:eastAsia="宋体"/>
                <w:b w:val="0"/>
                <w:bCs/>
                <w:sz w:val="21"/>
                <w:szCs w:val="21"/>
                <w:lang w:val="en-US" w:eastAsia="zh-CN"/>
              </w:rPr>
              <w:t xml:space="preserve">Theories and Practice: International Trade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48/3/3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西方经济学、统计学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b/>
                <w:sz w:val="21"/>
                <w:szCs w:val="21"/>
              </w:rPr>
            </w:pPr>
            <w:r>
              <w:rPr>
                <w:rFonts w:hint="eastAsia" w:ascii="宋体" w:hAnsi="宋体" w:eastAsia="宋体"/>
                <w:b/>
                <w:sz w:val="21"/>
                <w:szCs w:val="21"/>
              </w:rPr>
              <w:t>授课时间：</w:t>
            </w:r>
          </w:p>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1-16</w:t>
            </w:r>
            <w:r>
              <w:rPr>
                <w:rFonts w:hint="eastAsia" w:ascii="宋体" w:hAnsi="宋体" w:eastAsia="宋体"/>
                <w:b w:val="0"/>
                <w:bCs/>
                <w:sz w:val="21"/>
                <w:szCs w:val="21"/>
                <w:lang w:eastAsia="zh-CN"/>
              </w:rPr>
              <w:t>周一</w:t>
            </w:r>
            <w:r>
              <w:rPr>
                <w:rFonts w:hint="eastAsia" w:ascii="宋体" w:hAnsi="宋体" w:eastAsia="宋体"/>
                <w:b w:val="0"/>
                <w:bCs/>
                <w:sz w:val="21"/>
                <w:szCs w:val="21"/>
                <w:lang w:val="en-US" w:eastAsia="zh-CN"/>
              </w:rPr>
              <w:t>5-6节；1-16周三5-6节（双周）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莞城6411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b w:val="0"/>
                <w:bCs/>
                <w:sz w:val="21"/>
                <w:szCs w:val="21"/>
                <w:lang w:val="en-US" w:eastAsia="zh-CN"/>
              </w:rPr>
              <w:t>2015经济金融3-4班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张文清</w:t>
            </w:r>
            <w:r>
              <w:rPr>
                <w:rFonts w:hint="eastAsia" w:ascii="宋体" w:hAnsi="宋体" w:eastAsia="宋体"/>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13326887362</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1652562063@QQ.COM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课前、课后、教室、交流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b w:val="0"/>
                <w:bCs/>
                <w:sz w:val="21"/>
                <w:szCs w:val="21"/>
                <w:lang w:eastAsia="zh-CN"/>
              </w:rPr>
              <w:t>开卷（   ）     闭卷（</w:t>
            </w:r>
            <w:r>
              <w:rPr>
                <w:rFonts w:hint="default" w:ascii="宋体" w:hAnsi="宋体" w:eastAsia="宋体"/>
                <w:b w:val="0"/>
                <w:bCs/>
                <w:sz w:val="21"/>
                <w:szCs w:val="21"/>
                <w:lang w:eastAsia="zh-CN"/>
              </w:rPr>
              <w:t>√</w:t>
            </w:r>
            <w:r>
              <w:rPr>
                <w:rFonts w:hint="eastAsia" w:ascii="宋体" w:hAnsi="宋体" w:eastAsia="宋体"/>
                <w:b w:val="0"/>
                <w:bCs/>
                <w:sz w:val="21"/>
                <w:szCs w:val="21"/>
                <w:lang w:eastAsia="zh-CN"/>
              </w:rPr>
              <w:t>）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sz w:val="21"/>
                <w:szCs w:val="21"/>
                <w:lang w:eastAsia="zh-CN"/>
              </w:rPr>
              <w:t>缪东玲主编，《国际贸易理论与实务》，北京大学出版社</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项义军，张金萍主编，《国际贸易》，经济科学出版社；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徐景霖编著，《国际贸易实务》，东北财经大学出版社；</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赵慧娥主编，《国际贸易实务》，中国人民大学出版社。</w:t>
            </w:r>
          </w:p>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b w:val="0"/>
                <w:bCs/>
                <w:sz w:val="21"/>
                <w:szCs w:val="21"/>
                <w:lang w:eastAsia="zh-CN"/>
              </w:rPr>
              <w:t>国际贸易理论与实务着重研究国际商品交换的有关理论、政策和具体业务过程。课程内容包括：不同国家或地区之间商品交换活动的产生和发展过程，贸易利益的产生和分配，这种交换活动的特点和规律；贸易政策措施以及主要政策措施的经济效应；国际贸易的协调组织和相关理论；国际货物交换的具体条件和过程。</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 知识与技能目标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（1）掌握国际贸易的基本理论、基本知识和基本技能;</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（2）了解进出口交易程序；</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2. 过程与方法目标</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    本课程的是一门方针政策与业务技术相结合、理论与实践相结合的政策和实践性很强的学科，所以在授课是必须理论联合实际，多采用案例和实例分析，调动学生用理论联系实际，来加深对问题的理解。</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3. 情感、态度与价值观发展目标</w:t>
            </w:r>
          </w:p>
          <w:p>
            <w:pPr>
              <w:tabs>
                <w:tab w:val="left" w:pos="1440"/>
              </w:tabs>
              <w:spacing w:after="0" w:line="0" w:lineRule="atLeast"/>
              <w:outlineLvl w:val="0"/>
              <w:rPr>
                <w:rFonts w:ascii="宋体" w:hAnsi="宋体" w:eastAsia="宋体"/>
                <w:b/>
                <w:sz w:val="21"/>
                <w:szCs w:val="21"/>
              </w:rPr>
            </w:pPr>
            <w:r>
              <w:rPr>
                <w:rFonts w:hint="eastAsia" w:ascii="宋体" w:hAnsi="宋体" w:eastAsia="宋体"/>
                <w:b w:val="0"/>
                <w:bCs/>
                <w:sz w:val="21"/>
                <w:szCs w:val="21"/>
                <w:lang w:eastAsia="zh-CN"/>
              </w:rPr>
              <w:t xml:space="preserve">    通过本课程的学习,让学生对国际贸易的一些基本做法有充分的了解,对我国参与国际事务的做法上为什么要遵守国际贸易惯例从客观上有充分的尊重和理解，从而指导学生在生活中对一些诸如国家相关政策有自己的判断。</w:t>
            </w: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□核心能力1.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□核心能力2.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□核心能力3.</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□核心能力4.</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□核心能力5.</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 xml:space="preserve">□核心能力6. </w:t>
            </w:r>
          </w:p>
          <w:p>
            <w:pPr>
              <w:tabs>
                <w:tab w:val="left" w:pos="1440"/>
              </w:tabs>
              <w:spacing w:after="0" w:line="0" w:lineRule="atLeast"/>
              <w:outlineLvl w:val="0"/>
              <w:rPr>
                <w:rFonts w:hint="eastAsia" w:ascii="宋体" w:hAnsi="宋体" w:eastAsia="宋体"/>
                <w:b w:val="0"/>
                <w:bCs/>
                <w:sz w:val="21"/>
                <w:szCs w:val="21"/>
                <w:lang w:eastAsia="zh-CN"/>
              </w:rPr>
            </w:pPr>
            <w:r>
              <w:rPr>
                <w:rFonts w:hint="eastAsia" w:ascii="宋体" w:hAnsi="宋体" w:eastAsia="宋体"/>
                <w:b w:val="0"/>
                <w:bCs/>
                <w:sz w:val="21"/>
                <w:szCs w:val="21"/>
                <w:lang w:eastAsia="zh-CN"/>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val="0"/>
                <w:bCs/>
                <w:sz w:val="21"/>
                <w:szCs w:val="21"/>
                <w:lang w:eastAsia="zh-CN"/>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235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3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275" w:type="dxa"/>
            <w:gridSpan w:val="4"/>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2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77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第一章</w:t>
            </w:r>
            <w:r>
              <w:rPr>
                <w:rFonts w:hint="eastAsia" w:ascii="宋体" w:hAnsi="宋体" w:eastAsia="宋体"/>
                <w:sz w:val="21"/>
                <w:szCs w:val="21"/>
                <w:lang w:val="en-US" w:eastAsia="zh-CN"/>
              </w:rPr>
              <w:t xml:space="preserve"> 导论</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国际贸易理论概述、国际贸易实务概述</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第二章</w:t>
            </w:r>
            <w:r>
              <w:rPr>
                <w:rFonts w:hint="eastAsia" w:ascii="宋体" w:hAnsi="宋体" w:eastAsia="宋体"/>
                <w:sz w:val="21"/>
                <w:szCs w:val="21"/>
                <w:lang w:val="en-US" w:eastAsia="zh-CN"/>
              </w:rPr>
              <w:t xml:space="preserve"> 国际贸易成因</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国际贸易分工理论、古典贸易理论、新贸易理论</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2351"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第三章国际贸易调整</w:t>
            </w:r>
          </w:p>
        </w:tc>
        <w:tc>
          <w:tcPr>
            <w:tcW w:w="637"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贸易政策概述、贸易调整措施</w:t>
            </w:r>
          </w:p>
        </w:tc>
        <w:tc>
          <w:tcPr>
            <w:tcW w:w="72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第三章</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主要调整措施、贸易救济措施</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2351"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第四章国际贸易协调</w:t>
            </w:r>
          </w:p>
        </w:tc>
        <w:tc>
          <w:tcPr>
            <w:tcW w:w="637"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区域经济一体化、世贸组织、国际贸易协调理论</w:t>
            </w:r>
          </w:p>
        </w:tc>
        <w:tc>
          <w:tcPr>
            <w:tcW w:w="720" w:type="dxa"/>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第五章国际服务贸易与技术贸易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国际服务贸易与技术贸易</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bookmarkStart w:id="0" w:name="_GoBack"/>
            <w:bookmarkEnd w:id="0"/>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第六章贸易术语</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贸易术语概述、《</w:t>
            </w:r>
            <w:r>
              <w:rPr>
                <w:rFonts w:hint="eastAsia" w:ascii="宋体" w:hAnsi="宋体" w:eastAsia="宋体"/>
                <w:sz w:val="21"/>
                <w:szCs w:val="21"/>
                <w:lang w:val="en-US" w:eastAsia="zh-CN"/>
              </w:rPr>
              <w:t>2010通则</w:t>
            </w:r>
            <w:r>
              <w:rPr>
                <w:rFonts w:hint="eastAsia" w:ascii="宋体" w:hAnsi="宋体" w:eastAsia="宋体"/>
                <w:sz w:val="21"/>
                <w:szCs w:val="21"/>
                <w:lang w:eastAsia="zh-CN"/>
              </w:rPr>
              <w:t>》中的贸易术语</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第七章品名、品质、数量和包装</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品名、品质、数量和包装</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第八章国际货物运输</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运输方式、运输单据、装运条款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11</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第九章国际货物运输保险</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国际货物运输保险</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第十章商品的价格</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进出口商品的价格、定价、价格条款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13</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第十一章国际货款收付</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支付方式：汇付、托收、信用证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第十二章，十三章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检验、索赔、不可抗力与仲裁；国际贸易合同的商定</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第十四章国际贸易合同的履行</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出口合同的履行、进口合同的履行、进出口单证</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讲授</w:t>
            </w: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r>
              <w:rPr>
                <w:rFonts w:hint="eastAsia" w:ascii="宋体" w:hAnsi="宋体" w:eastAsia="宋体"/>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235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复习</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9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right"/>
              <w:rPr>
                <w:rFonts w:hint="eastAsia" w:ascii="宋体" w:hAnsi="宋体" w:eastAsia="宋体"/>
                <w:sz w:val="21"/>
                <w:szCs w:val="21"/>
                <w:lang w:eastAsia="zh-CN"/>
              </w:rPr>
            </w:pPr>
            <w:r>
              <w:rPr>
                <w:rFonts w:hint="eastAsia" w:ascii="宋体" w:hAnsi="宋体" w:eastAsia="宋体"/>
                <w:b/>
                <w:sz w:val="21"/>
                <w:szCs w:val="21"/>
              </w:rPr>
              <w:t>合计：</w:t>
            </w:r>
          </w:p>
        </w:tc>
        <w:tc>
          <w:tcPr>
            <w:tcW w:w="63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48</w:t>
            </w:r>
          </w:p>
        </w:tc>
        <w:tc>
          <w:tcPr>
            <w:tcW w:w="4275" w:type="dxa"/>
            <w:gridSpan w:val="4"/>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p>
        </w:tc>
        <w:tc>
          <w:tcPr>
            <w:tcW w:w="77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3"/>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独立完成，书写工整、答题正确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考勤</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不迟到、早退，不无故请假、缺课</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期末考试</w:t>
            </w:r>
          </w:p>
        </w:tc>
        <w:tc>
          <w:tcPr>
            <w:tcW w:w="5811" w:type="dxa"/>
            <w:gridSpan w:val="5"/>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书写工整、答题正确</w:t>
            </w:r>
          </w:p>
        </w:tc>
        <w:tc>
          <w:tcPr>
            <w:tcW w:w="1583" w:type="dxa"/>
            <w:gridSpan w:val="3"/>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MingLiU">
    <w:panose1 w:val="02020509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F7B75C7"/>
    <w:rsid w:val="28AD1D92"/>
    <w:rsid w:val="2C23799B"/>
    <w:rsid w:val="3DF73111"/>
    <w:rsid w:val="43D2442B"/>
    <w:rsid w:val="50587670"/>
    <w:rsid w:val="5F584BFC"/>
    <w:rsid w:val="62602DFF"/>
    <w:rsid w:val="63714545"/>
    <w:rsid w:val="67CB26FD"/>
    <w:rsid w:val="7A9C5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2017-10-17T15:34:16Z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