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w:t>
            </w:r>
            <w:r>
              <w:rPr>
                <w:rFonts w:hint="eastAsia" w:ascii="宋体" w:hAnsi="宋体" w:eastAsia="宋体"/>
                <w:b/>
                <w:sz w:val="21"/>
                <w:szCs w:val="21"/>
                <w:lang w:val="en-US" w:eastAsia="zh-CN"/>
              </w:rPr>
              <w:t>2</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w:t>
            </w:r>
            <w:r>
              <w:rPr>
                <w:rFonts w:hint="eastAsia" w:ascii="宋体" w:hAnsi="宋体" w:eastAsia="宋体"/>
                <w:sz w:val="21"/>
                <w:szCs w:val="21"/>
                <w:lang w:val="en-US" w:eastAsia="zh-CN"/>
              </w:rPr>
              <w:t>2</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1-16周周三12节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莞城校区6311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sz w:val="21"/>
                <w:szCs w:val="21"/>
                <w:lang w:eastAsia="zh-CN"/>
              </w:rPr>
              <w:t>2015经济金融56班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rFonts w:hint="eastAsia" w:asciiTheme="minorEastAsia" w:hAnsiTheme="minorEastAsia" w:eastAsiaTheme="minorEastAsia"/>
                <w:b/>
                <w:szCs w:val="21"/>
                <w:lang w:eastAsia="zh-CN"/>
              </w:rPr>
              <w:t xml:space="preserve"> </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第三版</w:t>
            </w:r>
            <w:r>
              <w:rPr>
                <w:rFonts w:hint="eastAsia"/>
                <w:sz w:val="21"/>
                <w:szCs w:val="21"/>
              </w:rPr>
              <w:t xml:space="preserve">)  </w:t>
            </w:r>
            <w:r>
              <w:rPr>
                <w:sz w:val="21"/>
                <w:szCs w:val="21"/>
              </w:rPr>
              <w:t>刘园</w:t>
            </w:r>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eastAsia="zh-CN"/>
              </w:rPr>
              <w:t>-2</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4</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r>
              <w:rPr>
                <w:rFonts w:hint="eastAsia" w:eastAsia="楷体_GB2312"/>
                <w:szCs w:val="21"/>
                <w:lang w:val="en-US" w:eastAsia="zh-CN"/>
              </w:rPr>
              <w:t>-4</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4</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eastAsia="楷体_GB2312"/>
                <w:szCs w:val="21"/>
                <w:lang w:val="en-US" w:eastAsia="zh-CN"/>
              </w:rPr>
            </w:pPr>
            <w:r>
              <w:rPr>
                <w:rFonts w:hint="eastAsia" w:eastAsia="楷体_GB2312"/>
                <w:szCs w:val="21"/>
                <w:lang w:val="en-US" w:eastAsia="zh-CN"/>
              </w:rPr>
              <w:t>5</w:t>
            </w:r>
          </w:p>
        </w:tc>
        <w:tc>
          <w:tcPr>
            <w:tcW w:w="1728" w:type="dxa"/>
            <w:gridSpan w:val="2"/>
            <w:vAlign w:val="center"/>
          </w:tcPr>
          <w:p>
            <w:pPr>
              <w:spacing w:after="0" w:line="0" w:lineRule="atLeast"/>
              <w:jc w:val="center"/>
              <w:rPr>
                <w:rFonts w:hint="eastAsia" w:eastAsia="楷体_GB2312"/>
                <w:szCs w:val="21"/>
              </w:rPr>
            </w:pPr>
            <w:r>
              <w:rPr>
                <w:rFonts w:hint="eastAsia" w:eastAsia="楷体_GB2312"/>
                <w:szCs w:val="21"/>
              </w:rPr>
              <w:t>国际商务谈判中的技巧</w:t>
            </w:r>
          </w:p>
        </w:tc>
        <w:tc>
          <w:tcPr>
            <w:tcW w:w="623" w:type="dxa"/>
            <w:vAlign w:val="center"/>
          </w:tcPr>
          <w:p>
            <w:pPr>
              <w:spacing w:after="0" w:line="0" w:lineRule="atLeast"/>
              <w:jc w:val="center"/>
              <w:rPr>
                <w:rFonts w:hint="eastAsia" w:eastAsia="楷体_GB2312"/>
                <w:szCs w:val="21"/>
                <w:lang w:val="en-US" w:eastAsia="zh-CN"/>
              </w:rPr>
            </w:pPr>
            <w:r>
              <w:rPr>
                <w:rFonts w:hint="eastAsia" w:eastAsia="楷体_GB2312"/>
                <w:szCs w:val="21"/>
              </w:rPr>
              <w:t>2</w:t>
            </w:r>
          </w:p>
        </w:tc>
        <w:tc>
          <w:tcPr>
            <w:tcW w:w="4779" w:type="dxa"/>
            <w:gridSpan w:val="3"/>
            <w:vAlign w:val="center"/>
          </w:tcPr>
          <w:p>
            <w:pPr>
              <w:spacing w:after="0" w:line="0" w:lineRule="atLeast"/>
              <w:jc w:val="center"/>
              <w:rPr>
                <w:rFonts w:hint="eastAsia" w:eastAsia="楷体_GB2312"/>
                <w:szCs w:val="21"/>
              </w:rPr>
            </w:pPr>
            <w:r>
              <w:rPr>
                <w:rFonts w:hint="eastAsia" w:eastAsia="楷体_GB2312"/>
                <w:szCs w:val="21"/>
              </w:rPr>
              <w:t>了解国际商务谈判中的技巧种类和分别</w:t>
            </w:r>
          </w:p>
        </w:tc>
        <w:tc>
          <w:tcPr>
            <w:tcW w:w="708" w:type="dxa"/>
            <w:gridSpan w:val="2"/>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hint="eastAsia"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eastAsia="楷体_GB2312"/>
                <w:szCs w:val="21"/>
              </w:rPr>
            </w:pPr>
            <w:r>
              <w:rPr>
                <w:rFonts w:hint="eastAsia" w:eastAsia="楷体_GB2312"/>
                <w:szCs w:val="21"/>
                <w:lang w:val="en-US" w:eastAsia="zh-CN"/>
              </w:rPr>
              <w:t>6</w:t>
            </w:r>
            <w:r>
              <w:rPr>
                <w:rFonts w:hint="eastAsia" w:eastAsia="楷体_GB2312"/>
                <w:szCs w:val="21"/>
                <w:lang w:eastAsia="zh-CN"/>
              </w:rPr>
              <w:t>-</w:t>
            </w:r>
            <w:r>
              <w:rPr>
                <w:rFonts w:hint="eastAsia" w:eastAsia="楷体_GB2312"/>
                <w:szCs w:val="21"/>
                <w:lang w:val="en-US" w:eastAsia="zh-CN"/>
              </w:rPr>
              <w:t>7</w:t>
            </w:r>
          </w:p>
        </w:tc>
        <w:tc>
          <w:tcPr>
            <w:tcW w:w="1728" w:type="dxa"/>
            <w:gridSpan w:val="2"/>
            <w:vAlign w:val="center"/>
          </w:tcPr>
          <w:p>
            <w:pPr>
              <w:spacing w:after="0" w:line="0" w:lineRule="atLeast"/>
              <w:jc w:val="center"/>
              <w:rPr>
                <w:rFonts w:hint="eastAsia" w:eastAsia="楷体_GB2312"/>
                <w:szCs w:val="21"/>
              </w:rPr>
            </w:pPr>
            <w:r>
              <w:rPr>
                <w:rFonts w:hint="eastAsia" w:eastAsia="楷体_GB2312"/>
                <w:szCs w:val="21"/>
              </w:rPr>
              <w:t>国际商务谈判礼仪</w:t>
            </w:r>
          </w:p>
        </w:tc>
        <w:tc>
          <w:tcPr>
            <w:tcW w:w="623" w:type="dxa"/>
            <w:vAlign w:val="center"/>
          </w:tcPr>
          <w:p>
            <w:pPr>
              <w:spacing w:after="0" w:line="0" w:lineRule="atLeast"/>
              <w:jc w:val="center"/>
              <w:rPr>
                <w:rFonts w:hint="eastAsia" w:eastAsia="楷体_GB2312"/>
                <w:szCs w:val="21"/>
              </w:rPr>
            </w:pPr>
            <w:r>
              <w:rPr>
                <w:rFonts w:hint="eastAsia" w:eastAsia="楷体_GB2312"/>
                <w:szCs w:val="21"/>
                <w:lang w:eastAsia="zh-CN"/>
              </w:rPr>
              <w:t>4</w:t>
            </w:r>
          </w:p>
        </w:tc>
        <w:tc>
          <w:tcPr>
            <w:tcW w:w="4779" w:type="dxa"/>
            <w:gridSpan w:val="3"/>
            <w:vAlign w:val="center"/>
          </w:tcPr>
          <w:p>
            <w:pPr>
              <w:snapToGrid w:val="0"/>
              <w:spacing w:line="360" w:lineRule="auto"/>
              <w:ind w:firstLine="720" w:firstLineChars="0"/>
              <w:jc w:val="center"/>
              <w:rPr>
                <w:rFonts w:hint="eastAsia"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vAlign w:val="center"/>
          </w:tcPr>
          <w:p>
            <w:pPr>
              <w:spacing w:after="0" w:line="0" w:lineRule="atLeast"/>
              <w:jc w:val="center"/>
              <w:rPr>
                <w:rFonts w:hint="eastAsia" w:eastAsia="楷体_GB2312"/>
                <w:szCs w:val="21"/>
              </w:rPr>
            </w:pPr>
            <w:r>
              <w:rPr>
                <w:rFonts w:hint="eastAsia" w:eastAsia="楷体_GB2312"/>
                <w:szCs w:val="21"/>
              </w:rPr>
              <w:t>作业</w:t>
            </w:r>
            <w:r>
              <w:rPr>
                <w:rFonts w:hint="eastAsia" w:eastAsia="楷体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8</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了解商务谈判的准备阶段，并掌握其策略</w:t>
            </w:r>
          </w:p>
        </w:tc>
        <w:tc>
          <w:tcPr>
            <w:tcW w:w="708" w:type="dxa"/>
            <w:gridSpan w:val="2"/>
            <w:tcBorders>
              <w:bottom w:val="single" w:color="auto" w:sz="4" w:space="0"/>
            </w:tcBorders>
            <w:vAlign w:val="center"/>
          </w:tcPr>
          <w:p>
            <w:pPr>
              <w:spacing w:after="0" w:line="0" w:lineRule="atLeast"/>
              <w:jc w:val="center"/>
              <w:rPr>
                <w:rFonts w:eastAsia="楷体_GB2312"/>
                <w:szCs w:val="21"/>
              </w:rPr>
            </w:pPr>
            <w:r>
              <w:rPr>
                <w:rFonts w:eastAsia="楷体_GB2312"/>
                <w:szCs w:val="21"/>
              </w:rPr>
              <w:t>讲授</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lang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11-12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4</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w:t>
            </w:r>
            <w:r>
              <w:rPr>
                <w:rFonts w:hint="eastAsia" w:eastAsia="楷体_GB2312"/>
                <w:szCs w:val="21"/>
                <w:lang w:eastAsia="zh-CN"/>
              </w:rPr>
              <w:t>处理</w:t>
            </w:r>
            <w:r>
              <w:rPr>
                <w:rFonts w:hint="eastAsia" w:eastAsia="楷体_GB2312"/>
                <w:szCs w:val="21"/>
              </w:rPr>
              <w:t>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w:t>
            </w:r>
            <w:r>
              <w:rPr>
                <w:rFonts w:hint="eastAsia" w:eastAsia="楷体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4</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1</w:t>
            </w:r>
            <w:r>
              <w:rPr>
                <w:rFonts w:hint="eastAsia" w:eastAsia="楷体_GB2312"/>
                <w:szCs w:val="21"/>
                <w:lang w:val="en-US"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掌握国际商务谈判中听、问、答、叙、看、辨以及说服的技巧</w:t>
            </w:r>
          </w:p>
          <w:p>
            <w:pPr>
              <w:snapToGrid w:val="0"/>
              <w:spacing w:line="360" w:lineRule="auto"/>
              <w:ind w:left="787" w:leftChars="228" w:hanging="240" w:hangingChars="100"/>
              <w:jc w:val="center"/>
              <w:rPr>
                <w:rFonts w:hint="eastAsia" w:eastAsia="楷体_GB2312"/>
                <w:szCs w:val="21"/>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1</w:t>
            </w:r>
            <w:r>
              <w:rPr>
                <w:rFonts w:hint="eastAsia" w:eastAsia="楷体_GB2312"/>
                <w:szCs w:val="21"/>
                <w:lang w:val="en-US" w:eastAsia="zh-CN"/>
              </w:rPr>
              <w:t>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现代谈判理论和思想</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32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1562" w:type="dxa"/>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both"/>
              <w:rPr>
                <w:rFonts w:hint="eastAsia" w:ascii="宋体" w:hAnsi="宋体" w:eastAsia="宋体"/>
                <w:b/>
                <w:sz w:val="21"/>
                <w:szCs w:val="21"/>
              </w:rPr>
            </w:pPr>
          </w:p>
        </w:tc>
        <w:tc>
          <w:tcPr>
            <w:tcW w:w="1728" w:type="dxa"/>
            <w:gridSpan w:val="2"/>
            <w:tcMar>
              <w:left w:w="28" w:type="dxa"/>
              <w:right w:w="28" w:type="dxa"/>
            </w:tcMar>
            <w:vAlign w:val="center"/>
          </w:tcPr>
          <w:p>
            <w:pPr>
              <w:spacing w:after="0" w:line="0" w:lineRule="atLeast"/>
              <w:jc w:val="center"/>
              <w:rPr>
                <w:rFonts w:hint="eastAsia" w:ascii="宋体" w:hAnsi="宋体" w:eastAsia="宋体"/>
                <w:b/>
                <w:sz w:val="21"/>
                <w:szCs w:val="21"/>
              </w:rPr>
            </w:pPr>
          </w:p>
        </w:tc>
        <w:tc>
          <w:tcPr>
            <w:tcW w:w="623" w:type="dxa"/>
            <w:tcMar>
              <w:left w:w="28" w:type="dxa"/>
              <w:right w:w="28" w:type="dxa"/>
            </w:tcMar>
            <w:vAlign w:val="center"/>
          </w:tcPr>
          <w:p>
            <w:pPr>
              <w:spacing w:after="0" w:line="0" w:lineRule="atLeast"/>
              <w:jc w:val="center"/>
              <w:rPr>
                <w:rFonts w:hint="eastAsia" w:ascii="宋体" w:hAnsi="宋体" w:eastAsia="宋体"/>
                <w:b/>
                <w:sz w:val="21"/>
                <w:szCs w:val="21"/>
              </w:rPr>
            </w:pPr>
          </w:p>
        </w:tc>
        <w:tc>
          <w:tcPr>
            <w:tcW w:w="3217" w:type="dxa"/>
            <w:gridSpan w:val="2"/>
            <w:tcMar>
              <w:left w:w="28" w:type="dxa"/>
              <w:right w:w="28" w:type="dxa"/>
            </w:tcMar>
            <w:vAlign w:val="center"/>
          </w:tcPr>
          <w:p>
            <w:pPr>
              <w:spacing w:after="0" w:line="0" w:lineRule="atLeast"/>
              <w:jc w:val="center"/>
              <w:rPr>
                <w:rFonts w:hint="eastAsia" w:ascii="宋体" w:hAnsi="宋体" w:eastAsia="宋体"/>
                <w:b/>
                <w:sz w:val="21"/>
                <w:szCs w:val="21"/>
              </w:rPr>
            </w:pPr>
          </w:p>
        </w:tc>
        <w:tc>
          <w:tcPr>
            <w:tcW w:w="1562" w:type="dxa"/>
            <w:tcMar>
              <w:left w:w="28" w:type="dxa"/>
              <w:right w:w="28" w:type="dxa"/>
            </w:tcMar>
            <w:vAlign w:val="center"/>
          </w:tcPr>
          <w:p>
            <w:pPr>
              <w:spacing w:after="0" w:line="0" w:lineRule="atLeast"/>
              <w:jc w:val="center"/>
              <w:rPr>
                <w:rFonts w:hint="eastAsia"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hint="eastAsia"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both"/>
              <w:rPr>
                <w:rFonts w:hint="eastAsia" w:ascii="宋体" w:hAnsi="宋体" w:eastAsia="宋体"/>
                <w:b/>
                <w:sz w:val="21"/>
                <w:szCs w:val="21"/>
              </w:rPr>
            </w:pPr>
          </w:p>
        </w:tc>
        <w:tc>
          <w:tcPr>
            <w:tcW w:w="1728" w:type="dxa"/>
            <w:gridSpan w:val="2"/>
            <w:tcMar>
              <w:left w:w="28" w:type="dxa"/>
              <w:right w:w="28" w:type="dxa"/>
            </w:tcMar>
            <w:vAlign w:val="center"/>
          </w:tcPr>
          <w:p>
            <w:pPr>
              <w:spacing w:after="0" w:line="0" w:lineRule="atLeast"/>
              <w:jc w:val="center"/>
              <w:rPr>
                <w:rFonts w:hint="eastAsia" w:ascii="宋体" w:hAnsi="宋体" w:eastAsia="宋体"/>
                <w:b/>
                <w:sz w:val="21"/>
                <w:szCs w:val="21"/>
              </w:rPr>
            </w:pPr>
          </w:p>
        </w:tc>
        <w:tc>
          <w:tcPr>
            <w:tcW w:w="623" w:type="dxa"/>
            <w:tcMar>
              <w:left w:w="28" w:type="dxa"/>
              <w:right w:w="28" w:type="dxa"/>
            </w:tcMar>
            <w:vAlign w:val="center"/>
          </w:tcPr>
          <w:p>
            <w:pPr>
              <w:spacing w:after="0" w:line="0" w:lineRule="atLeast"/>
              <w:jc w:val="center"/>
              <w:rPr>
                <w:rFonts w:hint="eastAsia" w:ascii="宋体" w:hAnsi="宋体" w:eastAsia="宋体"/>
                <w:b/>
                <w:sz w:val="21"/>
                <w:szCs w:val="21"/>
              </w:rPr>
            </w:pPr>
          </w:p>
        </w:tc>
        <w:tc>
          <w:tcPr>
            <w:tcW w:w="3217" w:type="dxa"/>
            <w:gridSpan w:val="2"/>
            <w:tcMar>
              <w:left w:w="28" w:type="dxa"/>
              <w:right w:w="28" w:type="dxa"/>
            </w:tcMar>
            <w:vAlign w:val="center"/>
          </w:tcPr>
          <w:p>
            <w:pPr>
              <w:spacing w:after="0" w:line="0" w:lineRule="atLeast"/>
              <w:jc w:val="center"/>
              <w:rPr>
                <w:rFonts w:hint="eastAsia" w:ascii="宋体" w:hAnsi="宋体" w:eastAsia="宋体"/>
                <w:b/>
                <w:sz w:val="21"/>
                <w:szCs w:val="21"/>
              </w:rPr>
            </w:pPr>
          </w:p>
        </w:tc>
        <w:tc>
          <w:tcPr>
            <w:tcW w:w="1562" w:type="dxa"/>
            <w:tcMar>
              <w:left w:w="28" w:type="dxa"/>
              <w:right w:w="28" w:type="dxa"/>
            </w:tcMar>
            <w:vAlign w:val="center"/>
          </w:tcPr>
          <w:p>
            <w:pPr>
              <w:spacing w:after="0" w:line="0" w:lineRule="atLeast"/>
              <w:jc w:val="center"/>
              <w:rPr>
                <w:rFonts w:hint="eastAsia"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hint="eastAsia"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both"/>
              <w:rPr>
                <w:rFonts w:hint="eastAsia" w:ascii="宋体" w:hAnsi="宋体" w:eastAsia="宋体"/>
                <w:b/>
                <w:sz w:val="21"/>
                <w:szCs w:val="21"/>
              </w:rPr>
            </w:pPr>
          </w:p>
        </w:tc>
        <w:tc>
          <w:tcPr>
            <w:tcW w:w="1728" w:type="dxa"/>
            <w:gridSpan w:val="2"/>
            <w:tcMar>
              <w:left w:w="28" w:type="dxa"/>
              <w:right w:w="28" w:type="dxa"/>
            </w:tcMar>
            <w:vAlign w:val="center"/>
          </w:tcPr>
          <w:p>
            <w:pPr>
              <w:spacing w:after="0" w:line="0" w:lineRule="atLeast"/>
              <w:jc w:val="center"/>
              <w:rPr>
                <w:rFonts w:hint="eastAsia" w:ascii="宋体" w:hAnsi="宋体" w:eastAsia="宋体"/>
                <w:b/>
                <w:sz w:val="21"/>
                <w:szCs w:val="21"/>
              </w:rPr>
            </w:pPr>
          </w:p>
        </w:tc>
        <w:tc>
          <w:tcPr>
            <w:tcW w:w="623" w:type="dxa"/>
            <w:tcMar>
              <w:left w:w="28" w:type="dxa"/>
              <w:right w:w="28" w:type="dxa"/>
            </w:tcMar>
            <w:vAlign w:val="center"/>
          </w:tcPr>
          <w:p>
            <w:pPr>
              <w:spacing w:after="0" w:line="0" w:lineRule="atLeast"/>
              <w:jc w:val="center"/>
              <w:rPr>
                <w:rFonts w:hint="eastAsia" w:ascii="宋体" w:hAnsi="宋体" w:eastAsia="宋体"/>
                <w:b/>
                <w:sz w:val="21"/>
                <w:szCs w:val="21"/>
              </w:rPr>
            </w:pPr>
          </w:p>
        </w:tc>
        <w:tc>
          <w:tcPr>
            <w:tcW w:w="3217" w:type="dxa"/>
            <w:gridSpan w:val="2"/>
            <w:tcMar>
              <w:left w:w="28" w:type="dxa"/>
              <w:right w:w="28" w:type="dxa"/>
            </w:tcMar>
            <w:vAlign w:val="center"/>
          </w:tcPr>
          <w:p>
            <w:pPr>
              <w:spacing w:after="0" w:line="0" w:lineRule="atLeast"/>
              <w:jc w:val="center"/>
              <w:rPr>
                <w:rFonts w:hint="eastAsia" w:ascii="宋体" w:hAnsi="宋体" w:eastAsia="宋体"/>
                <w:b/>
                <w:sz w:val="21"/>
                <w:szCs w:val="21"/>
              </w:rPr>
            </w:pPr>
          </w:p>
        </w:tc>
        <w:tc>
          <w:tcPr>
            <w:tcW w:w="1562" w:type="dxa"/>
            <w:tcMar>
              <w:left w:w="28" w:type="dxa"/>
              <w:right w:w="28" w:type="dxa"/>
            </w:tcMar>
            <w:vAlign w:val="center"/>
          </w:tcPr>
          <w:p>
            <w:pPr>
              <w:spacing w:after="0" w:line="0" w:lineRule="atLeast"/>
              <w:jc w:val="center"/>
              <w:rPr>
                <w:rFonts w:hint="eastAsia"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hint="eastAsia"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w:t>
            </w:r>
            <w:r>
              <w:rPr>
                <w:rFonts w:hint="eastAsia" w:eastAsia="楷体_GB2312"/>
                <w:szCs w:val="21"/>
                <w:lang w:eastAsia="zh-CN"/>
              </w:rPr>
              <w:t>课程论文</w:t>
            </w:r>
            <w:r>
              <w:rPr>
                <w:rFonts w:eastAsia="楷体_GB2312"/>
                <w:szCs w:val="21"/>
              </w:rPr>
              <w:t>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大纲编写时间：2017年9月7日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Latha"/>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MingLiU">
    <w:panose1 w:val="02020509000000000000"/>
    <w:charset w:val="88"/>
    <w:family w:val="auto"/>
    <w:pitch w:val="default"/>
    <w:sig w:usb0="A00002FF" w:usb1="28CFFCFA" w:usb2="00000016" w:usb3="00000000" w:csb0="00100001" w:csb1="00000000"/>
  </w:font>
  <w:font w:name="Latha">
    <w:panose1 w:val="020B0604020202020204"/>
    <w:charset w:val="00"/>
    <w:family w:val="auto"/>
    <w:pitch w:val="default"/>
    <w:sig w:usb0="00100003"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Malgun Gothic Semilight">
    <w:altName w:val="宋体"/>
    <w:panose1 w:val="020B0502040204020203"/>
    <w:charset w:val="86"/>
    <w:family w:val="swiss"/>
    <w:pitch w:val="default"/>
    <w:sig w:usb0="00000000" w:usb1="00000000" w:usb2="00000012" w:usb3="00000000" w:csb0="003E01BD"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03A91"/>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D219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2295"/>
    <w:rsid w:val="00ED3FCA"/>
    <w:rsid w:val="00F31667"/>
    <w:rsid w:val="00F617C2"/>
    <w:rsid w:val="00F96D96"/>
    <w:rsid w:val="00FE22C8"/>
    <w:rsid w:val="13393088"/>
    <w:rsid w:val="13C57C8E"/>
    <w:rsid w:val="17785BDD"/>
    <w:rsid w:val="27AF6D34"/>
    <w:rsid w:val="28AD1D92"/>
    <w:rsid w:val="2C23799B"/>
    <w:rsid w:val="44461095"/>
    <w:rsid w:val="62602DFF"/>
    <w:rsid w:val="63E2655D"/>
    <w:rsid w:val="7772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标题 1 Char"/>
    <w:basedOn w:val="6"/>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64F3B5-0521-4091-A096-B4DBD9D29E0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1601</Words>
  <Characters>495</Characters>
  <Lines>4</Lines>
  <Paragraphs>4</Paragraphs>
  <ScaleCrop>false</ScaleCrop>
  <LinksUpToDate>false</LinksUpToDate>
  <CharactersWithSpaces>2092</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刘璇</cp:lastModifiedBy>
  <cp:lastPrinted>2017-01-05T16:24:00Z</cp:lastPrinted>
  <dcterms:modified xsi:type="dcterms:W3CDTF">2017-10-30T02:19:31Z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