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《经济学概论与经典研读》课程教学大纲</w:t>
      </w:r>
    </w:p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</w:p>
    <w:p>
      <w:pPr>
        <w:spacing w:line="360" w:lineRule="atLeast"/>
        <w:rPr>
          <w:rFonts w:ascii="宋体" w:hAnsi="宋体"/>
          <w:b/>
          <w:sz w:val="24"/>
        </w:rPr>
      </w:pPr>
      <w:bookmarkStart w:id="0" w:name="_Toc297541876"/>
      <w:r>
        <w:rPr>
          <w:rFonts w:hint="eastAsia" w:ascii="宋体" w:hAnsi="宋体"/>
          <w:b/>
          <w:sz w:val="24"/>
        </w:rPr>
        <w:t>一、课程与任课教师基本信息</w:t>
      </w:r>
      <w:bookmarkEnd w:id="0"/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42"/>
        <w:gridCol w:w="4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>经济学概论与经典研读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</w:t>
            </w:r>
            <w:r>
              <w:rPr>
                <w:rFonts w:hint="eastAsia" w:ascii="宋体" w:hAnsi="宋体"/>
                <w:szCs w:val="21"/>
              </w:rPr>
              <w:t>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</w:t>
            </w:r>
            <w:r>
              <w:rPr>
                <w:rFonts w:hint="eastAsia" w:ascii="宋体" w:hAnsi="宋体" w:eastAsia="楷体_GB2312"/>
                <w:szCs w:val="21"/>
              </w:rPr>
              <w:t>54/3/3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其中讨论学时：</w:t>
            </w:r>
            <w:r>
              <w:rPr>
                <w:rFonts w:hint="eastAsia" w:ascii="宋体" w:hAnsi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</w:t>
            </w:r>
            <w:r>
              <w:rPr>
                <w:rFonts w:hint="eastAsia" w:ascii="宋体" w:hAnsi="宋体"/>
                <w:szCs w:val="21"/>
              </w:rPr>
              <w:t>周二，5、6、7节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</w:t>
            </w:r>
            <w:r>
              <w:rPr>
                <w:rFonts w:hint="eastAsia" w:ascii="宋体" w:hAnsi="宋体" w:eastAsia="楷体_GB2312"/>
                <w:szCs w:val="21"/>
              </w:rPr>
              <w:t>6E-101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开课单位：</w:t>
            </w:r>
            <w:r>
              <w:rPr>
                <w:rFonts w:hint="eastAsia" w:ascii="宋体" w:hAnsi="宋体"/>
                <w:szCs w:val="21"/>
              </w:rPr>
              <w:t>经济贸易系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适用专业班级：</w:t>
            </w:r>
            <w:r>
              <w:rPr>
                <w:rFonts w:hint="eastAsia" w:ascii="宋体" w:hAnsi="宋体"/>
                <w:szCs w:val="21"/>
              </w:rPr>
              <w:t xml:space="preserve">2014汉语实验1班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任课教师姓名：</w:t>
            </w:r>
            <w:r>
              <w:rPr>
                <w:rFonts w:hint="eastAsia" w:ascii="宋体" w:hAnsi="宋体" w:eastAsia="楷体_GB2312"/>
                <w:szCs w:val="21"/>
              </w:rPr>
              <w:t>于丽敏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职称：</w:t>
            </w:r>
            <w:r>
              <w:rPr>
                <w:rFonts w:hint="eastAsia" w:ascii="宋体" w:hAnsi="宋体" w:eastAsia="楷体_GB2312"/>
                <w:szCs w:val="21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</w:t>
            </w:r>
            <w:r>
              <w:rPr>
                <w:rFonts w:hint="eastAsia" w:ascii="宋体" w:hAnsi="宋体" w:eastAsia="楷体_GB2312"/>
                <w:szCs w:val="21"/>
              </w:rPr>
              <w:t>6528（短号）</w:t>
            </w:r>
          </w:p>
        </w:tc>
        <w:tc>
          <w:tcPr>
            <w:tcW w:w="4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</w:t>
            </w:r>
            <w:r>
              <w:rPr>
                <w:rFonts w:hint="eastAsia" w:ascii="宋体" w:hAnsi="宋体" w:eastAsia="楷体_GB2312"/>
                <w:szCs w:val="21"/>
              </w:rPr>
              <w:t xml:space="preserve"> yulimin112@sina.com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</w:t>
            </w:r>
            <w:r>
              <w:rPr>
                <w:rFonts w:hint="eastAsia" w:ascii="宋体" w:hAnsi="宋体" w:eastAsia="楷体_GB2312"/>
                <w:szCs w:val="21"/>
              </w:rPr>
              <w:t>6E-101。</w:t>
            </w:r>
            <w:r>
              <w:rPr>
                <w:rFonts w:hint="eastAsia" w:ascii="宋体" w:hAnsi="宋体"/>
                <w:color w:val="000000"/>
                <w:szCs w:val="21"/>
              </w:rPr>
              <w:t>分为集体答疑与个别答疑相结合，其中，集体答疑主要是利用上课时间在课堂上以讨论的方式进行，个别答疑主要通过课间答疑、</w:t>
            </w:r>
            <w:r>
              <w:rPr>
                <w:rFonts w:hint="eastAsia" w:ascii="宋体" w:hAnsi="宋体"/>
                <w:szCs w:val="21"/>
              </w:rPr>
              <w:t>电话答疑、电子邮件答疑和特约答疑</w:t>
            </w:r>
            <w:r>
              <w:rPr>
                <w:rFonts w:hint="eastAsia" w:ascii="宋体" w:hAnsi="宋体"/>
                <w:color w:val="000000"/>
                <w:szCs w:val="21"/>
              </w:rPr>
              <w:t>等方式进行</w:t>
            </w:r>
            <w:r>
              <w:rPr>
                <w:rFonts w:hint="eastAsia" w:ascii="宋体" w:hAnsi="宋体"/>
                <w:szCs w:val="21"/>
              </w:rPr>
              <w:t>；期中、期末统一答疑。</w:t>
            </w: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二、</w:t>
      </w:r>
      <w:bookmarkStart w:id="1" w:name="_Toc297541889"/>
      <w:r>
        <w:rPr>
          <w:rFonts w:hint="eastAsia" w:ascii="宋体" w:hAnsi="宋体"/>
          <w:b/>
          <w:spacing w:val="-3"/>
          <w:sz w:val="24"/>
          <w:lang/>
        </w:rPr>
        <w:t>课程简介</w:t>
      </w:r>
      <w:bookmarkEnd w:id="1"/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ascii="宋体" w:hAnsi="宋体"/>
          <w:sz w:val="24"/>
        </w:rPr>
        <w:t>《经济学概论与经典研读》是我校汉语实验班的必修课。</w:t>
      </w:r>
      <w:r>
        <w:rPr>
          <w:rFonts w:hint="eastAsia" w:cs="Tahoma"/>
          <w:sz w:val="24"/>
        </w:rPr>
        <w:t>通过该门课程的学习，使学生掌握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《</w:t>
      </w:r>
      <w:r>
        <w:rPr>
          <w:rFonts w:hint="eastAsia" w:ascii="宋体" w:hAnsi="宋体"/>
          <w:sz w:val="24"/>
        </w:rPr>
        <w:t>经济学概论与经典研读</w:t>
      </w:r>
      <w:r>
        <w:rPr>
          <w:rFonts w:hint="eastAsia" w:cs="Tahoma"/>
          <w:sz w:val="24"/>
        </w:rPr>
        <w:t>》的前半部分是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微观经济学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，后半部分是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宏观经济学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三、课程目标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cs="Tahoma"/>
          <w:sz w:val="24"/>
        </w:rPr>
        <w:t>1</w:t>
      </w:r>
      <w:r>
        <w:rPr>
          <w:rFonts w:hint="eastAsia" w:cs="Tahoma"/>
          <w:sz w:val="24"/>
        </w:rPr>
        <w:t>、知识与技能目标：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>
      <w:pPr>
        <w:pStyle w:val="2"/>
        <w:spacing w:line="400" w:lineRule="exact"/>
        <w:ind w:firstLine="353" w:firstLineChars="147"/>
        <w:rPr>
          <w:szCs w:val="24"/>
        </w:rPr>
      </w:pPr>
      <w:r>
        <w:rPr>
          <w:rFonts w:ascii="Times New Roman" w:hAnsi="Times New Roman" w:cs="Tahoma"/>
          <w:szCs w:val="24"/>
        </w:rPr>
        <w:t>2</w:t>
      </w:r>
      <w:r>
        <w:rPr>
          <w:rFonts w:hint="eastAsia" w:ascii="Times New Roman" w:hAnsi="Times New Roman" w:cs="Tahoma"/>
          <w:szCs w:val="24"/>
        </w:rPr>
        <w:t>、过程与方法目标：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在《微观经济学》部分我们将运用个量分析方法，从人类面临的最基本的资源的稀缺性及其最基本的竞争开始，接着便对</w:t>
      </w:r>
      <w:r>
        <w:rPr>
          <w:rFonts w:ascii="Times New Roman" w:hAnsi="Times New Roman" w:cs="Tahoma"/>
          <w:szCs w:val="24"/>
        </w:rPr>
        <w:t>“</w:t>
      </w:r>
      <w:r>
        <w:rPr>
          <w:rFonts w:hint="eastAsia" w:ascii="Times New Roman" w:hAnsi="Times New Roman" w:cs="Tahoma"/>
          <w:szCs w:val="24"/>
        </w:rPr>
        <w:t>需求规律</w:t>
      </w:r>
      <w:r>
        <w:rPr>
          <w:rFonts w:ascii="Times New Roman" w:hAnsi="Times New Roman" w:cs="Tahoma"/>
          <w:szCs w:val="24"/>
        </w:rPr>
        <w:t>”</w:t>
      </w:r>
      <w:r>
        <w:rPr>
          <w:rFonts w:hint="eastAsia" w:ascii="Times New Roman" w:hAnsi="Times New Roman" w:cs="Tahoma"/>
          <w:szCs w:val="24"/>
        </w:rPr>
        <w:t>和“供给规律”及其应用作充分的介绍，在了解了弹性理论之后，我们将把视角转为研究消费者行为和生产者行为，在此基础上，走进市场结构，剖析其内部的组织构成原理。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经典研读部分，我们将在微观部分和宏观部分安排一些经典文章供同学们研读，重点研读诺贝尔奖获得者科斯的《企业的性质》和凯恩斯的《就业利息和货币通论》等著作，要求同学们能够精度、写出读书笔记并参加讨论。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、情感、态度与价值观发展目标：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四、与前后课程的联系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本课程是我校汉语实验班的必修课。它需要有一定的数学基础，通常以高等数学为先导课程，在后续教学中可以开设应用统计学以及管理学等课程。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五、教材选用与参考书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1、选用教材：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《西方经济学基础教程》，梁小民编著，北京大学出版社,2014年。</w:t>
      </w:r>
    </w:p>
    <w:p>
      <w:pPr>
        <w:snapToGrid w:val="0"/>
        <w:spacing w:line="240" w:lineRule="atLeast"/>
        <w:ind w:firstLine="480" w:firstLineChars="200"/>
        <w:rPr>
          <w:rFonts w:ascii="楷体_GB2312" w:hAnsi="宋体" w:eastAsia="楷体_GB2312" w:cs="宋体"/>
          <w:bCs/>
          <w:sz w:val="24"/>
        </w:rPr>
      </w:pPr>
      <w:r>
        <w:rPr>
          <w:rFonts w:hint="eastAsia" w:ascii="宋体" w:hAnsi="宋体"/>
          <w:sz w:val="24"/>
        </w:rPr>
        <w:t>2、推荐参考书：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bookmarkStart w:id="2" w:name="_Toc297541890"/>
      <w:r>
        <w:rPr>
          <w:rFonts w:hint="eastAsia" w:ascii="宋体" w:hAnsi="宋体"/>
          <w:sz w:val="24"/>
        </w:rPr>
        <w:t>曼昆著，《经济学原理》（上下册）（第六版），北京大学出版社，2012年；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斯蒂格利茨著，《经济学》（第四版），中国人民大学出版社，2010年。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六、课程进度表</w:t>
      </w:r>
      <w:bookmarkEnd w:id="2"/>
    </w:p>
    <w:tbl>
      <w:tblPr>
        <w:tblStyle w:val="6"/>
        <w:tblW w:w="9120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529"/>
        <w:gridCol w:w="1837"/>
        <w:gridCol w:w="2702"/>
        <w:gridCol w:w="3560"/>
        <w:gridCol w:w="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要点与重点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5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西方经济学的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研究对象和方法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社会经济基本问题、实证分析方法、规范分析方法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关键概念：稀缺性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掌握：社会经济基本问题、实证分析方法和规范分析方法的区别。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供求理论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需求规律、供给规律、均衡价格的决定、支持价格和限制限价格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Style w:val="9"/>
                <w:rFonts w:hint="default" w:cs="Tahoma"/>
              </w:rPr>
              <w:t>1</w:t>
            </w:r>
            <w:r>
              <w:rPr>
                <w:rFonts w:hint="eastAsia"/>
              </w:rPr>
              <w:t>、关键概念：</w:t>
            </w:r>
            <w:r>
              <w:rPr>
                <w:rStyle w:val="9"/>
                <w:rFonts w:hint="default" w:cs="Tahoma"/>
              </w:rPr>
              <w:t>需求、供给、需求规律、供给规律</w:t>
            </w:r>
            <w:r>
              <w:rPr>
                <w:rFonts w:hint="eastAsia" w:cs="Tahoma"/>
                <w:szCs w:val="21"/>
              </w:rPr>
              <w:t>。</w:t>
            </w:r>
            <w:r>
              <w:rPr>
                <w:rStyle w:val="9"/>
                <w:rFonts w:hint="default" w:cs="Tahoma"/>
              </w:rPr>
              <w:t>均衡价格、支持价格、限制价格。</w:t>
            </w:r>
          </w:p>
          <w:p>
            <w:pPr>
              <w:spacing w:line="400" w:lineRule="exact"/>
              <w:rPr>
                <w:rFonts w:ascii="宋体" w:hAnsi="宋体" w:cs="Tahoma"/>
                <w:szCs w:val="21"/>
              </w:rPr>
            </w:pPr>
            <w:r>
              <w:rPr>
                <w:rStyle w:val="9"/>
                <w:rFonts w:hint="default" w:cs="Tahoma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弹性理论</w:t>
            </w:r>
          </w:p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基数效用论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总效用、边际效用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</w:t>
            </w:r>
            <w:r>
              <w:rPr>
                <w:rFonts w:hint="eastAsia" w:cs="Tahoma"/>
                <w:szCs w:val="21"/>
              </w:rPr>
              <w:t>弹性、需求价格弹性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</w:t>
            </w:r>
            <w:r>
              <w:rPr>
                <w:rFonts w:hint="eastAsia" w:cs="Tahoma"/>
                <w:szCs w:val="21"/>
              </w:rPr>
              <w:t>弹性的计算和应用。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3</w:t>
            </w:r>
            <w:r>
              <w:rPr>
                <w:rFonts w:hint="eastAsia" w:cs="Tahoma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</w:rPr>
              <w:t>总效用、边际效用的关系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基数效用论、序数效用论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总效用和边际效用的关系、无差异曲线、消费者均衡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2"/>
              </w:numPr>
              <w:tabs>
                <w:tab w:val="left" w:pos="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1、关键概念：边际效用递减规律、无差异曲线、边际替代率。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序数效用论的消费者均衡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一种可变要素的生产函数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总产量、平均产量和边际产量曲线图及其三条曲线的关系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、关键概念：生产函数、边际产量、边际报酬递减规律。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生产者均衡、短期成本、长期成本、机会成本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1、关键概念：机会成本、</w:t>
            </w:r>
            <w:r>
              <w:rPr>
                <w:rFonts w:hint="eastAsia" w:cs="Tahoma"/>
                <w:szCs w:val="21"/>
              </w:rPr>
              <w:t>显性成本、隐性成本、经济利润、会计利润、固定成本、可变成本、平均可变成本、边际成本。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研读科斯的《企业的性质》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科斯定理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研读与讨论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完全竞争市场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完全竞争市场的条件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关键概念：完全竞争市场、行业</w:t>
            </w:r>
          </w:p>
          <w:p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垄断竞争市场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关键概念：垄断市场、垄断竞争市场、寡头市场。</w:t>
            </w:r>
          </w:p>
          <w:p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要素分配理论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工资、利息、地租和利润的决定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阶段总结与课堂作业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微观经济学部分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国民收入核算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国内生产总值的决定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关键概念：国内生产总值</w:t>
            </w:r>
          </w:p>
          <w:p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IS-LM模型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IS曲线、LM曲线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了解IS曲线、LM曲线特征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通货膨胀理论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失业与通货膨胀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6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关键概念：失业、通货膨胀、价格指数。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了解失业和通货膨胀的类型。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财政政策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扩张性财政政策和紧缩性财政政策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关键概念：财政政策</w:t>
            </w:r>
          </w:p>
          <w:p>
            <w:pPr>
              <w:numPr>
                <w:ilvl w:val="0"/>
                <w:numId w:val="7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掌握财政政策出台的背景和原因。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货币政策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扩张性货币政策和紧缩性货币政策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8"/>
              </w:numPr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关键概念：货币政策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2、掌握货币政策出台的背景和原因。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研读凯恩斯的《就业利息和货币通论》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宏观经济政策的运用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研读与讨论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</w:t>
            </w:r>
          </w:p>
        </w:tc>
        <w:tc>
          <w:tcPr>
            <w:tcW w:w="2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七、教学方法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在讲授过程中，以教材为主，联系现实经济现象，加深同学们对经济学原理的理解和掌握。</w:t>
      </w:r>
    </w:p>
    <w:p>
      <w:pPr>
        <w:spacing w:line="400" w:lineRule="exact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宋体" w:hAnsi="宋体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八、对学生的学习要求</w:t>
      </w: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1、学习本课程的方法、策略及教育资源的利用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根据多年的教学经验，同学们要学好《经济学概论与经典研读》这门课，首先要认真听课，同时要阅读教师指定必读书目和参考阅读文献，在此基础上课后要多做习题，加深对经济学理论和观点的理解。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2、学生必须阅读的论著与宣读的论著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为帮助学生巩固应熟练掌握的基本知识和技能，体现教学的基本要求，建议同学可以阅读以下文献：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曼昆著，《经济学原理》（第6版），北京大学出版社，2012年；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斯蒂格利茨著，《经济学》（第4版），中国人民大学出版社，2010年；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保罗·A·萨缪尔逊，威廉·D·诺德豪斯著，萧琛译，《经济学》（第19版），商务印书馆，2012年；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高鸿业主编，《西方经济学》（第6版），中国人民大学出版社，2014年。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3、学生完成本课程每周须耗费的时间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掌握本课程内容，学生在课内与课外所要花费的最少时间为5小时。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4、学生参与教学评价要求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九、成绩评定方法及标准</w:t>
      </w:r>
    </w:p>
    <w:tbl>
      <w:tblPr>
        <w:tblStyle w:val="6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67"/>
        <w:gridCol w:w="5213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评价标准及要求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cs="Tahoma"/>
                <w:szCs w:val="21"/>
              </w:rPr>
              <w:t>旷课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次扣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分，迟到</w:t>
            </w: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次</w:t>
            </w:r>
            <w:r>
              <w:rPr>
                <w:rFonts w:cs="Tahoma"/>
                <w:szCs w:val="21"/>
              </w:rPr>
              <w:t>0.5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课堂案例讨论与回答问题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firstLine="178" w:firstLineChars="85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不能够按照教师提出的问题参与讨论或回答问题每次扣</w:t>
            </w:r>
            <w:r>
              <w:rPr>
                <w:rFonts w:cs="Tahoma"/>
                <w:szCs w:val="21"/>
              </w:rPr>
              <w:t>2.5</w:t>
            </w:r>
            <w:r>
              <w:rPr>
                <w:rFonts w:hint="eastAsia" w:cs="Tahoma"/>
                <w:szCs w:val="21"/>
              </w:rPr>
              <w:t>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单元测试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闭卷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</w:tc>
      </w:tr>
    </w:tbl>
    <w:p>
      <w:pPr>
        <w:snapToGrid w:val="0"/>
        <w:spacing w:line="240" w:lineRule="atLeast"/>
        <w:rPr>
          <w:rFonts w:ascii="宋体" w:hAnsi="宋体"/>
          <w:b/>
          <w:spacing w:val="-3"/>
          <w:sz w:val="24"/>
          <w:lang/>
        </w:rPr>
      </w:pPr>
      <w:r>
        <w:rPr>
          <w:rFonts w:hint="eastAsia" w:ascii="宋体" w:hAnsi="宋体"/>
          <w:b/>
          <w:spacing w:val="-3"/>
          <w:sz w:val="24"/>
          <w:lang/>
        </w:rPr>
        <w:t>十、院（系）教学委员会审查意见</w:t>
      </w:r>
    </w:p>
    <w:tbl>
      <w:tblPr>
        <w:tblStyle w:val="6"/>
        <w:tblW w:w="78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7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7848" w:type="dxa"/>
            <w:vAlign w:val="top"/>
          </w:tcPr>
          <w:p>
            <w:pPr>
              <w:spacing w:after="120" w:line="400" w:lineRule="exact"/>
              <w:ind w:firstLine="470" w:firstLineChars="196"/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我院（系）教学委员会已对本课程教学大纲进行了审查，同意执行。</w:t>
            </w:r>
          </w:p>
          <w:p>
            <w:pPr>
              <w:spacing w:after="120" w:line="400" w:lineRule="exact"/>
              <w:ind w:firstLine="470" w:firstLineChars="196"/>
              <w:rPr>
                <w:rFonts w:hint="eastAsia" w:eastAsia="楷体_GB2312"/>
                <w:sz w:val="24"/>
              </w:rPr>
            </w:pPr>
          </w:p>
          <w:p>
            <w:pPr>
              <w:spacing w:after="120" w:line="400" w:lineRule="exac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院（系）教学委员会主任签名：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  <w:lang w:eastAsia="zh-CN"/>
              </w:rPr>
              <w:t>刘伟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日期：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  <w:lang w:val="en-US" w:eastAsia="zh-CN"/>
              </w:rPr>
              <w:t>2015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  <w:lang w:val="en-US" w:eastAsia="zh-CN"/>
              </w:rPr>
              <w:t>3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</w:t>
            </w:r>
            <w:bookmarkStart w:id="3" w:name="_GoBack"/>
            <w:bookmarkEnd w:id="3"/>
            <w:r>
              <w:rPr>
                <w:rFonts w:hint="eastAsia" w:eastAsia="楷体_GB2312"/>
                <w:sz w:val="24"/>
                <w:lang w:val="en-US" w:eastAsia="zh-CN"/>
              </w:rPr>
              <w:t>5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>日</w:t>
            </w:r>
          </w:p>
        </w:tc>
      </w:tr>
    </w:tbl>
    <w:p/>
    <w:p/>
    <w:p/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61692293">
    <w:nsid w:val="0F991B85"/>
    <w:multiLevelType w:val="multilevel"/>
    <w:tmpl w:val="0F991B85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6315515">
    <w:nsid w:val="1A9A3BFB"/>
    <w:multiLevelType w:val="multilevel"/>
    <w:tmpl w:val="1A9A3BFB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21847163">
    <w:nsid w:val="42DE077B"/>
    <w:multiLevelType w:val="multilevel"/>
    <w:tmpl w:val="42DE077B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80507415">
    <w:nsid w:val="465D1D17"/>
    <w:multiLevelType w:val="multilevel"/>
    <w:tmpl w:val="465D1D17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62764310">
    <w:nsid w:val="4B444116"/>
    <w:multiLevelType w:val="multilevel"/>
    <w:tmpl w:val="4B444116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46911861">
    <w:nsid w:val="5C340075"/>
    <w:multiLevelType w:val="multilevel"/>
    <w:tmpl w:val="5C340075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30623942">
    <w:nsid w:val="613158C6"/>
    <w:multiLevelType w:val="multilevel"/>
    <w:tmpl w:val="613158C6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6021914">
    <w:nsid w:val="05B92D9A"/>
    <w:multiLevelType w:val="multilevel"/>
    <w:tmpl w:val="05B92D9A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180507415"/>
    <w:lvlOverride w:ilvl="0">
      <w:startOverride w:val="1"/>
    </w:lvlOverride>
  </w:num>
  <w:num w:numId="2">
    <w:abstractNumId w:val="1262764310"/>
    <w:lvlOverride w:ilvl="0">
      <w:startOverride w:val="1"/>
    </w:lvlOverride>
  </w:num>
  <w:num w:numId="3">
    <w:abstractNumId w:val="1630623942"/>
    <w:lvlOverride w:ilvl="0">
      <w:startOverride w:val="1"/>
    </w:lvlOverride>
  </w:num>
  <w:num w:numId="4">
    <w:abstractNumId w:val="1546911861"/>
    <w:lvlOverride w:ilvl="0">
      <w:startOverride w:val="1"/>
    </w:lvlOverride>
  </w:num>
  <w:num w:numId="5">
    <w:abstractNumId w:val="261692293"/>
    <w:lvlOverride w:ilvl="0">
      <w:startOverride w:val="1"/>
    </w:lvlOverride>
  </w:num>
  <w:num w:numId="6">
    <w:abstractNumId w:val="446315515"/>
    <w:lvlOverride w:ilvl="0">
      <w:startOverride w:val="1"/>
    </w:lvlOverride>
  </w:num>
  <w:num w:numId="7">
    <w:abstractNumId w:val="96021914"/>
    <w:lvlOverride w:ilvl="0">
      <w:startOverride w:val="1"/>
    </w:lvlOverride>
  </w:num>
  <w:num w:numId="8">
    <w:abstractNumId w:val="112184716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52CA8"/>
    <w:rsid w:val="00007180"/>
    <w:rsid w:val="0001164A"/>
    <w:rsid w:val="000126EE"/>
    <w:rsid w:val="00012D36"/>
    <w:rsid w:val="000165F5"/>
    <w:rsid w:val="00024C0B"/>
    <w:rsid w:val="00036E32"/>
    <w:rsid w:val="000574E4"/>
    <w:rsid w:val="000625EB"/>
    <w:rsid w:val="0006744B"/>
    <w:rsid w:val="000709C1"/>
    <w:rsid w:val="00083DBD"/>
    <w:rsid w:val="000A193A"/>
    <w:rsid w:val="000B403E"/>
    <w:rsid w:val="000D6247"/>
    <w:rsid w:val="000E616E"/>
    <w:rsid w:val="000F1AD6"/>
    <w:rsid w:val="000F3425"/>
    <w:rsid w:val="00111E3D"/>
    <w:rsid w:val="001160B4"/>
    <w:rsid w:val="0012426E"/>
    <w:rsid w:val="001257E4"/>
    <w:rsid w:val="00132FF7"/>
    <w:rsid w:val="0013520C"/>
    <w:rsid w:val="00156BA0"/>
    <w:rsid w:val="001A04DA"/>
    <w:rsid w:val="001A4F0E"/>
    <w:rsid w:val="001C0503"/>
    <w:rsid w:val="001E03AB"/>
    <w:rsid w:val="001F588C"/>
    <w:rsid w:val="001F66C2"/>
    <w:rsid w:val="002035D2"/>
    <w:rsid w:val="00243CD3"/>
    <w:rsid w:val="002765AD"/>
    <w:rsid w:val="00285B82"/>
    <w:rsid w:val="00293347"/>
    <w:rsid w:val="00296A13"/>
    <w:rsid w:val="002974A3"/>
    <w:rsid w:val="002B7DC8"/>
    <w:rsid w:val="002C0378"/>
    <w:rsid w:val="002D40C0"/>
    <w:rsid w:val="00322E2C"/>
    <w:rsid w:val="003230E5"/>
    <w:rsid w:val="003430B8"/>
    <w:rsid w:val="003474BE"/>
    <w:rsid w:val="003A37E2"/>
    <w:rsid w:val="003B3533"/>
    <w:rsid w:val="003B61A9"/>
    <w:rsid w:val="003B7F83"/>
    <w:rsid w:val="003E3797"/>
    <w:rsid w:val="003E4C3C"/>
    <w:rsid w:val="003E7360"/>
    <w:rsid w:val="003F03A7"/>
    <w:rsid w:val="003F25F8"/>
    <w:rsid w:val="003F5F0C"/>
    <w:rsid w:val="00422943"/>
    <w:rsid w:val="0042340A"/>
    <w:rsid w:val="00426B9D"/>
    <w:rsid w:val="00436B2B"/>
    <w:rsid w:val="004465C1"/>
    <w:rsid w:val="004672F4"/>
    <w:rsid w:val="00470A36"/>
    <w:rsid w:val="00476AE7"/>
    <w:rsid w:val="004A2D3C"/>
    <w:rsid w:val="004A3F46"/>
    <w:rsid w:val="004B56EE"/>
    <w:rsid w:val="004B584F"/>
    <w:rsid w:val="004C051D"/>
    <w:rsid w:val="004E2EF6"/>
    <w:rsid w:val="004F1248"/>
    <w:rsid w:val="00503F75"/>
    <w:rsid w:val="00510FD1"/>
    <w:rsid w:val="00517129"/>
    <w:rsid w:val="00521CE9"/>
    <w:rsid w:val="005235F5"/>
    <w:rsid w:val="005264E1"/>
    <w:rsid w:val="00581054"/>
    <w:rsid w:val="00584AEC"/>
    <w:rsid w:val="005A024D"/>
    <w:rsid w:val="005A2D11"/>
    <w:rsid w:val="005C3FC0"/>
    <w:rsid w:val="005C5588"/>
    <w:rsid w:val="005F5B88"/>
    <w:rsid w:val="00604ACA"/>
    <w:rsid w:val="00615DEE"/>
    <w:rsid w:val="00626E44"/>
    <w:rsid w:val="006272DE"/>
    <w:rsid w:val="00632896"/>
    <w:rsid w:val="00635AB9"/>
    <w:rsid w:val="00642627"/>
    <w:rsid w:val="00647519"/>
    <w:rsid w:val="0065520E"/>
    <w:rsid w:val="0067215D"/>
    <w:rsid w:val="00674716"/>
    <w:rsid w:val="00675CB7"/>
    <w:rsid w:val="00675F51"/>
    <w:rsid w:val="00684DA6"/>
    <w:rsid w:val="00685626"/>
    <w:rsid w:val="006A262C"/>
    <w:rsid w:val="006B615F"/>
    <w:rsid w:val="007003C0"/>
    <w:rsid w:val="00705DE2"/>
    <w:rsid w:val="0070697B"/>
    <w:rsid w:val="007107A7"/>
    <w:rsid w:val="00716B90"/>
    <w:rsid w:val="00726BC5"/>
    <w:rsid w:val="007321FB"/>
    <w:rsid w:val="00741A1A"/>
    <w:rsid w:val="00762381"/>
    <w:rsid w:val="00762DE4"/>
    <w:rsid w:val="00776406"/>
    <w:rsid w:val="007B3788"/>
    <w:rsid w:val="007C47D0"/>
    <w:rsid w:val="007E46B7"/>
    <w:rsid w:val="007E7350"/>
    <w:rsid w:val="007F6C32"/>
    <w:rsid w:val="00801079"/>
    <w:rsid w:val="00806302"/>
    <w:rsid w:val="00814E65"/>
    <w:rsid w:val="0082729C"/>
    <w:rsid w:val="0083197A"/>
    <w:rsid w:val="00852CA8"/>
    <w:rsid w:val="008620C7"/>
    <w:rsid w:val="008626B5"/>
    <w:rsid w:val="00864C70"/>
    <w:rsid w:val="0086661B"/>
    <w:rsid w:val="008734F5"/>
    <w:rsid w:val="00882C50"/>
    <w:rsid w:val="00883890"/>
    <w:rsid w:val="00890063"/>
    <w:rsid w:val="00897EB2"/>
    <w:rsid w:val="008F4719"/>
    <w:rsid w:val="009012C8"/>
    <w:rsid w:val="00906764"/>
    <w:rsid w:val="00930C85"/>
    <w:rsid w:val="00944A6F"/>
    <w:rsid w:val="00966F89"/>
    <w:rsid w:val="0098276C"/>
    <w:rsid w:val="0099502A"/>
    <w:rsid w:val="009A09FF"/>
    <w:rsid w:val="009A167C"/>
    <w:rsid w:val="009B3006"/>
    <w:rsid w:val="009C020E"/>
    <w:rsid w:val="009E3414"/>
    <w:rsid w:val="009E3620"/>
    <w:rsid w:val="009F4CB8"/>
    <w:rsid w:val="00A12E70"/>
    <w:rsid w:val="00A16218"/>
    <w:rsid w:val="00A34F83"/>
    <w:rsid w:val="00A413D4"/>
    <w:rsid w:val="00A44C8C"/>
    <w:rsid w:val="00A459BE"/>
    <w:rsid w:val="00A65290"/>
    <w:rsid w:val="00A6765F"/>
    <w:rsid w:val="00A741B6"/>
    <w:rsid w:val="00A74470"/>
    <w:rsid w:val="00A74DBB"/>
    <w:rsid w:val="00A759C2"/>
    <w:rsid w:val="00A8798A"/>
    <w:rsid w:val="00AA6AB3"/>
    <w:rsid w:val="00AE2F17"/>
    <w:rsid w:val="00AF7D18"/>
    <w:rsid w:val="00B0277B"/>
    <w:rsid w:val="00B065C0"/>
    <w:rsid w:val="00B402FB"/>
    <w:rsid w:val="00B41C69"/>
    <w:rsid w:val="00B441B3"/>
    <w:rsid w:val="00B508EB"/>
    <w:rsid w:val="00B51CE5"/>
    <w:rsid w:val="00B61E0B"/>
    <w:rsid w:val="00B76E41"/>
    <w:rsid w:val="00B84764"/>
    <w:rsid w:val="00BB1DA5"/>
    <w:rsid w:val="00BC1708"/>
    <w:rsid w:val="00BD0D42"/>
    <w:rsid w:val="00BD1446"/>
    <w:rsid w:val="00BD5C17"/>
    <w:rsid w:val="00C40940"/>
    <w:rsid w:val="00C4693F"/>
    <w:rsid w:val="00C573E2"/>
    <w:rsid w:val="00C6142D"/>
    <w:rsid w:val="00C6787A"/>
    <w:rsid w:val="00C85D2B"/>
    <w:rsid w:val="00C878AF"/>
    <w:rsid w:val="00CA1EF3"/>
    <w:rsid w:val="00CA782E"/>
    <w:rsid w:val="00CC3A42"/>
    <w:rsid w:val="00CC3E04"/>
    <w:rsid w:val="00D20358"/>
    <w:rsid w:val="00D23372"/>
    <w:rsid w:val="00D27899"/>
    <w:rsid w:val="00D76C7F"/>
    <w:rsid w:val="00D847BB"/>
    <w:rsid w:val="00D97757"/>
    <w:rsid w:val="00DB38C9"/>
    <w:rsid w:val="00DE28CD"/>
    <w:rsid w:val="00DE587C"/>
    <w:rsid w:val="00DF129F"/>
    <w:rsid w:val="00DF3DF9"/>
    <w:rsid w:val="00E121D1"/>
    <w:rsid w:val="00E17BA4"/>
    <w:rsid w:val="00E24C47"/>
    <w:rsid w:val="00E40A43"/>
    <w:rsid w:val="00E44283"/>
    <w:rsid w:val="00E578E2"/>
    <w:rsid w:val="00E629AA"/>
    <w:rsid w:val="00E759AB"/>
    <w:rsid w:val="00E84A77"/>
    <w:rsid w:val="00E85890"/>
    <w:rsid w:val="00E91AF1"/>
    <w:rsid w:val="00E97CF0"/>
    <w:rsid w:val="00EA07A8"/>
    <w:rsid w:val="00EA096C"/>
    <w:rsid w:val="00EB1DD8"/>
    <w:rsid w:val="00EB2A8D"/>
    <w:rsid w:val="00EB77BD"/>
    <w:rsid w:val="00EC2B1D"/>
    <w:rsid w:val="00EE0702"/>
    <w:rsid w:val="00EE3525"/>
    <w:rsid w:val="00F02656"/>
    <w:rsid w:val="00F0435B"/>
    <w:rsid w:val="00F265C3"/>
    <w:rsid w:val="00F30A62"/>
    <w:rsid w:val="00F415EC"/>
    <w:rsid w:val="00F51968"/>
    <w:rsid w:val="00F613D1"/>
    <w:rsid w:val="00F63440"/>
    <w:rsid w:val="00F869CD"/>
    <w:rsid w:val="00F928A3"/>
    <w:rsid w:val="00FA4319"/>
    <w:rsid w:val="00FB1595"/>
    <w:rsid w:val="00FC0055"/>
    <w:rsid w:val="00FC2C3E"/>
    <w:rsid w:val="00FD4923"/>
    <w:rsid w:val="00FE590F"/>
    <w:rsid w:val="00FF6D81"/>
    <w:rsid w:val="5EF22B9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link w:val="8"/>
    <w:unhideWhenUsed/>
    <w:uiPriority w:val="0"/>
    <w:rPr>
      <w:rFonts w:ascii="宋体" w:hAnsi="Courier New" w:eastAsia="宋体" w:cs="Times New Roman"/>
      <w:kern w:val="2"/>
      <w:sz w:val="24"/>
      <w:szCs w:val="20"/>
      <w:lang w:val="en-US" w:eastAsia="zh-CN" w:bidi="ar-SA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5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8">
    <w:name w:val="纯文本 Char1"/>
    <w:basedOn w:val="5"/>
    <w:link w:val="2"/>
    <w:semiHidden/>
    <w:locked/>
    <w:uiPriority w:val="0"/>
    <w:rPr>
      <w:rFonts w:ascii="宋体" w:hAnsi="Courier New" w:eastAsia="宋体" w:cs="Times New Roman"/>
      <w:sz w:val="24"/>
      <w:szCs w:val="20"/>
    </w:rPr>
  </w:style>
  <w:style w:type="character" w:customStyle="1" w:styleId="9">
    <w:name w:val="style51"/>
    <w:basedOn w:val="5"/>
    <w:uiPriority w:val="0"/>
    <w:rPr>
      <w:rFonts w:hint="eastAsia" w:ascii="宋体" w:hAnsi="宋体" w:eastAsia="宋体"/>
      <w:color w:val="000000"/>
      <w:sz w:val="21"/>
      <w:szCs w:val="21"/>
    </w:rPr>
  </w:style>
  <w:style w:type="character" w:customStyle="1" w:styleId="10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563</Words>
  <Characters>3210</Characters>
  <Lines>26</Lines>
  <Paragraphs>7</Paragraphs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2015-03-04T02:39:00Z</dcterms:created>
  <dc:creator>于丽敏</dc:creator>
  <cp:lastModifiedBy>刘璇</cp:lastModifiedBy>
  <dcterms:modified xsi:type="dcterms:W3CDTF">2015-03-18T08:53:33Z</dcterms:modified>
  <dc:title>《经济学概论与经典研读》课程教学大纲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